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B9F" w:rsidRPr="003701B3" w:rsidRDefault="00A35B9F" w:rsidP="00A35B9F">
      <w:pPr>
        <w:pStyle w:val="Titulo1"/>
        <w:rPr>
          <w:rFonts w:cs="Times New Roman"/>
        </w:rPr>
      </w:pPr>
      <w:r w:rsidRPr="003701B3">
        <w:rPr>
          <w:rFonts w:cs="Times New Roman"/>
        </w:rPr>
        <w:t xml:space="preserve">NORMAS y </w:t>
      </w:r>
      <w:r w:rsidR="00070452" w:rsidRPr="003701B3">
        <w:rPr>
          <w:rFonts w:cs="Times New Roman"/>
        </w:rPr>
        <w:t xml:space="preserve">Metodología </w:t>
      </w:r>
      <w:r w:rsidRPr="003701B3">
        <w:rPr>
          <w:rFonts w:cs="Times New Roman"/>
        </w:rPr>
        <w:t xml:space="preserve">para </w:t>
      </w:r>
      <w:smartTag w:uri="urn:schemas-microsoft-com:office:smarttags" w:element="PersonName">
        <w:smartTagPr>
          <w:attr w:name="ProductID" w:val="la Determinaci￳n"/>
        </w:smartTagPr>
        <w:r w:rsidRPr="003701B3">
          <w:rPr>
            <w:rFonts w:cs="Times New Roman"/>
          </w:rPr>
          <w:t xml:space="preserve">la </w:t>
        </w:r>
        <w:r w:rsidR="00070452" w:rsidRPr="003701B3">
          <w:rPr>
            <w:rFonts w:cs="Times New Roman"/>
          </w:rPr>
          <w:t>Determinación</w:t>
        </w:r>
      </w:smartTag>
      <w:r w:rsidR="00070452" w:rsidRPr="003701B3">
        <w:rPr>
          <w:rFonts w:cs="Times New Roman"/>
        </w:rPr>
        <w:t xml:space="preserve"> </w:t>
      </w:r>
      <w:r w:rsidRPr="003701B3">
        <w:rPr>
          <w:rFonts w:cs="Times New Roman"/>
        </w:rPr>
        <w:t xml:space="preserve">de los </w:t>
      </w:r>
      <w:r w:rsidR="00070452" w:rsidRPr="003701B3">
        <w:rPr>
          <w:rFonts w:cs="Times New Roman"/>
        </w:rPr>
        <w:t xml:space="preserve">Momentos Contables </w:t>
      </w:r>
      <w:r w:rsidRPr="003701B3">
        <w:rPr>
          <w:rFonts w:cs="Times New Roman"/>
        </w:rPr>
        <w:t xml:space="preserve">de los </w:t>
      </w:r>
      <w:r w:rsidR="00070452" w:rsidRPr="003701B3">
        <w:rPr>
          <w:rFonts w:cs="Times New Roman"/>
        </w:rPr>
        <w:t>Ingresos</w:t>
      </w:r>
      <w:r w:rsidR="0020140A" w:rsidRPr="003701B3">
        <w:rPr>
          <w:rFonts w:cs="Times New Roman"/>
        </w:rPr>
        <w:t>.</w:t>
      </w:r>
    </w:p>
    <w:p w:rsidR="00B86C3D" w:rsidRPr="003701B3" w:rsidRDefault="00B86C3D" w:rsidP="00B86C3D">
      <w:pPr>
        <w:pStyle w:val="Titulo2"/>
      </w:pPr>
      <w:r w:rsidRPr="003701B3">
        <w:t>Al margen un logotipo, que dice: Consejo Nacional de Armonización Contable.</w:t>
      </w:r>
    </w:p>
    <w:p w:rsidR="00A35B9F" w:rsidRPr="00C354B7" w:rsidRDefault="00A35B9F" w:rsidP="008D6886">
      <w:pPr>
        <w:pStyle w:val="ANOTACION"/>
        <w:spacing w:after="100" w:line="282" w:lineRule="exact"/>
      </w:pPr>
      <w:r w:rsidRPr="00C354B7">
        <w:t>NORMAS Y METODOLOG</w:t>
      </w:r>
      <w:r w:rsidR="007A49DD">
        <w:t>I</w:t>
      </w:r>
      <w:r w:rsidRPr="00C354B7">
        <w:t xml:space="preserve">A PARA </w:t>
      </w:r>
      <w:smartTag w:uri="urn:schemas-microsoft-com:office:smarttags" w:element="PersonName">
        <w:smartTagPr>
          <w:attr w:name="ProductID" w:val="LA DETERMINACION  DE"/>
        </w:smartTagPr>
        <w:r w:rsidRPr="00C354B7">
          <w:t>LA DETERMINACI</w:t>
        </w:r>
        <w:r w:rsidR="007A49DD">
          <w:t>O</w:t>
        </w:r>
        <w:r w:rsidRPr="00C354B7">
          <w:t xml:space="preserve">N </w:t>
        </w:r>
        <w:r w:rsidR="003701B3">
          <w:t xml:space="preserve"> </w:t>
        </w:r>
        <w:r w:rsidRPr="00C354B7">
          <w:t>DE</w:t>
        </w:r>
      </w:smartTag>
      <w:r w:rsidRPr="00C354B7">
        <w:t xml:space="preserve"> LOS MOMENTOS CONTABLES DE LOS INGRESOS</w:t>
      </w:r>
    </w:p>
    <w:p w:rsidR="0011421F" w:rsidRPr="00675303" w:rsidRDefault="0011421F" w:rsidP="008D6886">
      <w:pPr>
        <w:pStyle w:val="Texto"/>
        <w:spacing w:after="100" w:line="282" w:lineRule="exact"/>
        <w:ind w:firstLine="0"/>
        <w:jc w:val="center"/>
        <w:rPr>
          <w:b/>
          <w:szCs w:val="28"/>
        </w:rPr>
      </w:pPr>
      <w:r w:rsidRPr="00675303">
        <w:rPr>
          <w:b/>
          <w:szCs w:val="28"/>
        </w:rPr>
        <w:t>ANTECEDENTES</w:t>
      </w:r>
    </w:p>
    <w:p w:rsidR="0011421F" w:rsidRPr="00C354B7" w:rsidRDefault="0011421F" w:rsidP="008D6886">
      <w:pPr>
        <w:pStyle w:val="Texto"/>
        <w:spacing w:after="100" w:line="282" w:lineRule="exact"/>
        <w:rPr>
          <w:szCs w:val="24"/>
        </w:rPr>
      </w:pPr>
      <w:r w:rsidRPr="00C354B7">
        <w:rPr>
          <w:szCs w:val="24"/>
        </w:rPr>
        <w:t xml:space="preserve">El 31 de diciembre de 2008 fue publicada en el Diario Oficial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la Ley General de Contabilidad Gubernamental (Ley de Contabilidad), que tiene como objeto establecer los criterios generales que regirán </w:t>
      </w:r>
      <w:smartTag w:uri="urn:schemas-microsoft-com:office:smarttags" w:element="PersonName">
        <w:smartTagPr>
          <w:attr w:name="ProductID" w:val="la Contabilidad Gubernamental"/>
        </w:smartTagPr>
        <w:r w:rsidRPr="00C354B7">
          <w:rPr>
            <w:szCs w:val="24"/>
          </w:rPr>
          <w:t>la Contabilidad Gubernamental</w:t>
        </w:r>
      </w:smartTag>
      <w:r w:rsidRPr="00C354B7">
        <w:rPr>
          <w:szCs w:val="24"/>
        </w:rPr>
        <w:t xml:space="preserve">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11421F" w:rsidRPr="00C354B7" w:rsidRDefault="0011421F" w:rsidP="008D6886">
      <w:pPr>
        <w:pStyle w:val="Texto"/>
        <w:spacing w:after="100" w:line="282" w:lineRule="exact"/>
        <w:rPr>
          <w:szCs w:val="24"/>
        </w:rPr>
      </w:pPr>
      <w:smartTag w:uri="urn:schemas-microsoft-com:office:smarttags" w:element="PersonName">
        <w:smartTagPr>
          <w:attr w:name="ProductID" w:val="La Ley"/>
        </w:smartTagPr>
        <w:r w:rsidRPr="00C354B7">
          <w:rPr>
            <w:szCs w:val="24"/>
          </w:rPr>
          <w:t>La Ley</w:t>
        </w:r>
      </w:smartTag>
      <w:r w:rsidRPr="00C354B7">
        <w:rPr>
          <w:szCs w:val="24"/>
        </w:rPr>
        <w:t xml:space="preserve"> de Contabilidad es de observancia obligatoria para los poderes Ejecutivo, Legislativo y Judicial de </w:t>
      </w:r>
      <w:smartTag w:uri="urn:schemas-microsoft-com:office:smarttags" w:element="PersonName">
        <w:smartTagPr>
          <w:attr w:name="ProductID" w:val="la Federaci￳n"/>
        </w:smartTagPr>
        <w:r w:rsidRPr="00C354B7">
          <w:rPr>
            <w:szCs w:val="24"/>
          </w:rPr>
          <w:t>la Federación</w:t>
        </w:r>
      </w:smartTag>
      <w:r w:rsidRPr="00C354B7">
        <w:rPr>
          <w:szCs w:val="24"/>
        </w:rPr>
        <w:t>, entidades federativas; los ayuntamientos de los municipios; los órganos político-administrativos de las demarcaciones territoriales del Distrito Federal; las entidades de la administración pública paraestatal, ya sean federales, estatales o municipales y los órganos autónomos federales y estatales.</w:t>
      </w:r>
    </w:p>
    <w:p w:rsidR="0011421F" w:rsidRPr="00C354B7" w:rsidRDefault="0011421F" w:rsidP="008D6886">
      <w:pPr>
        <w:pStyle w:val="Texto"/>
        <w:spacing w:after="100" w:line="282" w:lineRule="exact"/>
        <w:rPr>
          <w:szCs w:val="24"/>
        </w:rPr>
      </w:pPr>
      <w:r w:rsidRPr="00C354B7">
        <w:rPr>
          <w:szCs w:val="24"/>
        </w:rPr>
        <w:t>El órgano de coordinación para la armonización de la contabilidad gubernamental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11421F" w:rsidRPr="00C354B7" w:rsidRDefault="0011421F" w:rsidP="008D6886">
      <w:pPr>
        <w:pStyle w:val="Texto"/>
        <w:spacing w:after="100" w:line="282" w:lineRule="exact"/>
        <w:rPr>
          <w:szCs w:val="24"/>
        </w:rPr>
      </w:pPr>
      <w:r w:rsidRPr="00C354B7">
        <w:rPr>
          <w:szCs w:val="24"/>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11421F" w:rsidRPr="00C354B7" w:rsidRDefault="0011421F" w:rsidP="008D6886">
      <w:pPr>
        <w:pStyle w:val="Texto"/>
        <w:spacing w:after="100" w:line="282" w:lineRule="exact"/>
        <w:rPr>
          <w:szCs w:val="24"/>
        </w:rPr>
      </w:pPr>
      <w:r w:rsidRPr="00C354B7">
        <w:rPr>
          <w:szCs w:val="24"/>
        </w:rPr>
        <w:t xml:space="preserve">Por lo anterior, el CONAC, en el marco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11421F" w:rsidRPr="00C354B7" w:rsidRDefault="0011421F" w:rsidP="008D6886">
      <w:pPr>
        <w:pStyle w:val="Texto"/>
        <w:spacing w:after="100" w:line="282" w:lineRule="exact"/>
        <w:rPr>
          <w:szCs w:val="24"/>
        </w:rPr>
      </w:pPr>
      <w:r w:rsidRPr="00C354B7">
        <w:rPr>
          <w:szCs w:val="24"/>
        </w:rPr>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11421F" w:rsidRPr="00C354B7" w:rsidRDefault="0011421F" w:rsidP="008D6886">
      <w:pPr>
        <w:pStyle w:val="Texto"/>
        <w:spacing w:after="100" w:line="282" w:lineRule="exact"/>
        <w:rPr>
          <w:szCs w:val="24"/>
        </w:rPr>
      </w:pPr>
      <w:r w:rsidRPr="00C354B7">
        <w:rPr>
          <w:szCs w:val="24"/>
        </w:rPr>
        <w:t xml:space="preserve">En el marco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11421F" w:rsidRPr="00C354B7" w:rsidRDefault="0011421F" w:rsidP="008D6886">
      <w:pPr>
        <w:pStyle w:val="Texto"/>
        <w:spacing w:after="100" w:line="282" w:lineRule="exact"/>
        <w:rPr>
          <w:szCs w:val="24"/>
        </w:rPr>
      </w:pPr>
      <w:r w:rsidRPr="00C354B7">
        <w:rPr>
          <w:szCs w:val="24"/>
        </w:rPr>
        <w:t xml:space="preserve">Asimismo, es necesario considerar que el presente acuerdo se emite con el fin de establecer las bases para que los gobiernos: federal, de las entidades federativas y municipales, cumplan con las obligaciones que les impone el artículo cuarto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 anterior en el entendido de que los entes </w:t>
      </w:r>
      <w:r w:rsidRPr="00C354B7">
        <w:rPr>
          <w:szCs w:val="24"/>
        </w:rPr>
        <w:lastRenderedPageBreak/>
        <w:t xml:space="preserve">públicos de cada nivel de gobierno deberán realizar las acciones necesarias para cumplir con </w:t>
      </w:r>
      <w:r w:rsidR="003701B3">
        <w:rPr>
          <w:szCs w:val="24"/>
        </w:rPr>
        <w:t xml:space="preserve"> </w:t>
      </w:r>
      <w:r w:rsidRPr="00C354B7">
        <w:rPr>
          <w:szCs w:val="24"/>
        </w:rPr>
        <w:t>dichas obligaciones.</w:t>
      </w:r>
    </w:p>
    <w:p w:rsidR="0011421F" w:rsidRPr="00C354B7" w:rsidRDefault="0011421F" w:rsidP="008D6886">
      <w:pPr>
        <w:pStyle w:val="Texto"/>
        <w:spacing w:after="100" w:line="286" w:lineRule="exact"/>
        <w:rPr>
          <w:szCs w:val="24"/>
        </w:rPr>
      </w:pPr>
      <w:r w:rsidRPr="00C354B7">
        <w:rPr>
          <w:szCs w:val="24"/>
        </w:rPr>
        <w:t xml:space="preserve">El presente acuerdo fue sometido a opinión del Comité Consultivo, el cual integró distintos grupos de trabajo, contando con la participación de representantes de entidades federativas, municipios, Auditoría Superior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entidades estatales de Fiscalización, Instituto para el Desarrollo Técnico de las Haciendas Públicas, Instituto Mexicano de Contadores Públicos, Federación Nacional de </w:t>
      </w:r>
      <w:smartTag w:uri="urn:schemas-microsoft-com:office:smarttags" w:element="PersonName">
        <w:smartTagPr>
          <w:attr w:name="ProductID" w:val="la Asociaci￳n Mexicana"/>
        </w:smartTagPr>
        <w:r w:rsidRPr="00C354B7">
          <w:rPr>
            <w:szCs w:val="24"/>
          </w:rPr>
          <w:t>la Asociación Mexicana</w:t>
        </w:r>
      </w:smartTag>
      <w:r w:rsidRPr="00C354B7">
        <w:rPr>
          <w:szCs w:val="24"/>
        </w:rPr>
        <w:t xml:space="preserve"> de Contadores Públicos y Comisión Permanente de Contralores Estados-Federación.</w:t>
      </w:r>
    </w:p>
    <w:p w:rsidR="0011421F" w:rsidRPr="00C354B7" w:rsidRDefault="0011421F" w:rsidP="008D6886">
      <w:pPr>
        <w:pStyle w:val="Texto"/>
        <w:spacing w:after="100" w:line="286" w:lineRule="exact"/>
        <w:rPr>
          <w:szCs w:val="24"/>
        </w:rPr>
      </w:pPr>
      <w:r w:rsidRPr="00C354B7">
        <w:rPr>
          <w:szCs w:val="24"/>
        </w:rPr>
        <w:t xml:space="preserve">El 23 de octubre de 2009 el Comité Consultivo hizo llegar al Secretario Técnico la opinión sobre el proyecto de Acuerdo por el que se emiten las Normas y Metodología para </w:t>
      </w:r>
      <w:smartTag w:uri="urn:schemas-microsoft-com:office:smarttags" w:element="PersonName">
        <w:smartTagPr>
          <w:attr w:name="ProductID" w:val="la Determinaci￳n"/>
        </w:smartTagPr>
        <w:r w:rsidRPr="00C354B7">
          <w:rPr>
            <w:szCs w:val="24"/>
          </w:rPr>
          <w:t>la Determinación</w:t>
        </w:r>
      </w:smartTag>
      <w:r w:rsidRPr="00C354B7">
        <w:rPr>
          <w:szCs w:val="24"/>
        </w:rPr>
        <w:t xml:space="preserve"> de los Momentos Contables de los Ingresos.</w:t>
      </w:r>
    </w:p>
    <w:p w:rsidR="0011421F" w:rsidRPr="00C354B7" w:rsidRDefault="0011421F" w:rsidP="008D6886">
      <w:pPr>
        <w:pStyle w:val="Texto"/>
        <w:spacing w:after="100" w:line="286" w:lineRule="exact"/>
        <w:rPr>
          <w:szCs w:val="24"/>
        </w:rPr>
      </w:pPr>
      <w:r w:rsidRPr="00C354B7">
        <w:rPr>
          <w:szCs w:val="24"/>
        </w:rPr>
        <w:t xml:space="preserve">En virtud de lo anterior y con fundamento en los artículos 6, primer párrafo y 9, fracción I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el CONAC ha decidido lo siguiente:</w:t>
      </w:r>
    </w:p>
    <w:p w:rsidR="0011421F" w:rsidRPr="00C354B7" w:rsidRDefault="0011421F" w:rsidP="008D6886">
      <w:pPr>
        <w:pStyle w:val="Texto"/>
        <w:spacing w:after="100" w:line="286" w:lineRule="exact"/>
        <w:rPr>
          <w:szCs w:val="24"/>
        </w:rPr>
      </w:pPr>
      <w:r w:rsidRPr="00C354B7">
        <w:rPr>
          <w:b/>
          <w:szCs w:val="24"/>
        </w:rPr>
        <w:t>PRIMERO.-</w:t>
      </w:r>
      <w:r w:rsidRPr="00C354B7">
        <w:rPr>
          <w:szCs w:val="24"/>
        </w:rPr>
        <w:t xml:space="preserve"> Se emiten las Normas y Metodología para </w:t>
      </w:r>
      <w:smartTag w:uri="urn:schemas-microsoft-com:office:smarttags" w:element="PersonName">
        <w:smartTagPr>
          <w:attr w:name="ProductID" w:val="la Determinaci￳n"/>
        </w:smartTagPr>
        <w:r w:rsidRPr="00C354B7">
          <w:rPr>
            <w:szCs w:val="24"/>
          </w:rPr>
          <w:t>la Determinación</w:t>
        </w:r>
      </w:smartTag>
      <w:r w:rsidRPr="00C354B7">
        <w:rPr>
          <w:szCs w:val="24"/>
        </w:rPr>
        <w:t xml:space="preserve"> de los Momentos Contables de los Ingresos a que hace referencia el artículo tercero transitorio, fracción III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w:t>
      </w:r>
    </w:p>
    <w:p w:rsidR="0011421F" w:rsidRPr="00C354B7" w:rsidRDefault="0011421F" w:rsidP="008D6886">
      <w:pPr>
        <w:pStyle w:val="Texto"/>
        <w:spacing w:after="100" w:line="286" w:lineRule="exact"/>
        <w:ind w:firstLine="0"/>
        <w:jc w:val="center"/>
        <w:rPr>
          <w:szCs w:val="28"/>
        </w:rPr>
      </w:pPr>
      <w:r w:rsidRPr="00C354B7">
        <w:rPr>
          <w:szCs w:val="28"/>
        </w:rPr>
        <w:t>NORMAS Y METODOLOG</w:t>
      </w:r>
      <w:r w:rsidR="007A49DD">
        <w:rPr>
          <w:szCs w:val="28"/>
        </w:rPr>
        <w:t>I</w:t>
      </w:r>
      <w:r w:rsidRPr="00C354B7">
        <w:rPr>
          <w:szCs w:val="28"/>
        </w:rPr>
        <w:t xml:space="preserve">A PARA </w:t>
      </w:r>
      <w:smartTag w:uri="urn:schemas-microsoft-com:office:smarttags" w:element="PersonName">
        <w:smartTagPr>
          <w:attr w:name="ProductID" w:val="LA DETERMINACION ￼DE"/>
        </w:smartTagPr>
        <w:r w:rsidRPr="00C354B7">
          <w:rPr>
            <w:szCs w:val="28"/>
          </w:rPr>
          <w:t>LA DETERMINACI</w:t>
        </w:r>
        <w:r w:rsidR="007A49DD">
          <w:rPr>
            <w:szCs w:val="28"/>
          </w:rPr>
          <w:t>O</w:t>
        </w:r>
        <w:r w:rsidRPr="00C354B7">
          <w:rPr>
            <w:szCs w:val="28"/>
          </w:rPr>
          <w:t>N DE</w:t>
        </w:r>
      </w:smartTag>
      <w:r w:rsidRPr="00C354B7">
        <w:rPr>
          <w:szCs w:val="28"/>
        </w:rPr>
        <w:t xml:space="preserve"> LOS</w:t>
      </w:r>
      <w:r w:rsidR="003701B3">
        <w:rPr>
          <w:szCs w:val="28"/>
        </w:rPr>
        <w:t xml:space="preserve"> </w:t>
      </w:r>
      <w:r w:rsidRPr="00C354B7">
        <w:rPr>
          <w:szCs w:val="28"/>
        </w:rPr>
        <w:t>MOMENTOS CONTABLES DE LOS INGRESOS</w:t>
      </w:r>
    </w:p>
    <w:p w:rsidR="0011421F" w:rsidRPr="00C354B7" w:rsidRDefault="0011421F" w:rsidP="008D6886">
      <w:pPr>
        <w:pStyle w:val="Texto"/>
        <w:spacing w:after="100" w:line="286" w:lineRule="exact"/>
        <w:rPr>
          <w:szCs w:val="24"/>
        </w:rPr>
      </w:pPr>
      <w:r w:rsidRPr="00C354B7">
        <w:rPr>
          <w:szCs w:val="24"/>
        </w:rPr>
        <w:t>I.- El Sistema de Contabilidad Gubernamental (SCG) que cada ente público utilizará como instrumento de la administración financiera gubernamental, registrará de manera armónica, delimitada y específica las operaciones contables y presupuestarias derivadas de la gestión pública, así como otros flujos económicos.</w:t>
      </w:r>
    </w:p>
    <w:p w:rsidR="0011421F" w:rsidRPr="00C354B7" w:rsidRDefault="0011421F" w:rsidP="008D6886">
      <w:pPr>
        <w:pStyle w:val="Texto"/>
        <w:spacing w:after="100" w:line="286" w:lineRule="exact"/>
        <w:rPr>
          <w:szCs w:val="24"/>
        </w:rPr>
      </w:pPr>
      <w:r w:rsidRPr="00C354B7">
        <w:rPr>
          <w:szCs w:val="24"/>
        </w:rPr>
        <w:t xml:space="preserve">II.- Cada ente público será responsable de su contabilidad, de la operación del sistema; así como del cumplimiento de lo dispuesto por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las normas y lineamientos que emita el CONAC.</w:t>
      </w:r>
    </w:p>
    <w:p w:rsidR="0011421F" w:rsidRPr="00C354B7" w:rsidRDefault="0011421F" w:rsidP="008D6886">
      <w:pPr>
        <w:pStyle w:val="Texto"/>
        <w:spacing w:after="100" w:line="286" w:lineRule="exact"/>
        <w:rPr>
          <w:szCs w:val="24"/>
        </w:rPr>
      </w:pPr>
      <w:r w:rsidRPr="00C354B7">
        <w:rPr>
          <w:szCs w:val="24"/>
        </w:rPr>
        <w:t>III.- El sistema estará conformado por el conjunto de registros, procedimientos, criterios e informes, estructurados sobre la base de principios técnicos comunes destinados a captar, valuar, registrar, clasificar, informar e interpretar, las transacciones, transformaciones y eventos que, derivados de la actividad económica, modifican la situación patrimonial del gobierno y de las finanzas públicas.</w:t>
      </w:r>
    </w:p>
    <w:p w:rsidR="0011421F" w:rsidRPr="00C354B7" w:rsidRDefault="0011421F" w:rsidP="008D6886">
      <w:pPr>
        <w:pStyle w:val="Texto"/>
        <w:spacing w:after="100" w:line="286" w:lineRule="exact"/>
        <w:rPr>
          <w:szCs w:val="24"/>
        </w:rPr>
      </w:pPr>
      <w:r w:rsidRPr="00C354B7">
        <w:rPr>
          <w:szCs w:val="24"/>
        </w:rPr>
        <w:t>IV.- Los entes públicos deberán asegurarse que el sistema:</w:t>
      </w:r>
    </w:p>
    <w:p w:rsidR="0011421F" w:rsidRPr="00C354B7" w:rsidRDefault="00AE5B04" w:rsidP="008D6886">
      <w:pPr>
        <w:pStyle w:val="ROMANOS"/>
        <w:spacing w:after="100" w:line="286" w:lineRule="exact"/>
      </w:pPr>
      <w:r>
        <w:t>●</w:t>
      </w:r>
      <w:r w:rsidR="0011421F" w:rsidRPr="00C354B7">
        <w:tab/>
        <w:t>Refleje la aplicación de los Postulados Básicos, normas contables generales y específicas e instrumentos que establezca el CONAC;</w:t>
      </w:r>
    </w:p>
    <w:p w:rsidR="0011421F" w:rsidRPr="00C354B7" w:rsidRDefault="00AE5B04" w:rsidP="008D6886">
      <w:pPr>
        <w:pStyle w:val="ROMANOS"/>
        <w:spacing w:after="100" w:line="286" w:lineRule="exact"/>
      </w:pPr>
      <w:r>
        <w:t>●</w:t>
      </w:r>
      <w:r w:rsidR="0011421F" w:rsidRPr="00C354B7">
        <w:tab/>
        <w:t>Facilite el reconocimiento de las operaciones de ingresos, gastos, activos, pasivos y patrimoniales de los entes públicos;</w:t>
      </w:r>
    </w:p>
    <w:p w:rsidR="0011421F" w:rsidRPr="00C354B7" w:rsidRDefault="00AE5B04" w:rsidP="008D6886">
      <w:pPr>
        <w:pStyle w:val="ROMANOS"/>
        <w:spacing w:after="100" w:line="286" w:lineRule="exact"/>
      </w:pPr>
      <w:r>
        <w:t>●</w:t>
      </w:r>
      <w:r w:rsidR="0011421F" w:rsidRPr="00C354B7">
        <w:tab/>
        <w:t>Integre en forma automática el ejercicio presupuestario con la operación contable, a partir de la utilización del ingreso y gasto devengado;</w:t>
      </w:r>
    </w:p>
    <w:p w:rsidR="0011421F" w:rsidRPr="00C354B7" w:rsidRDefault="00AE5B04" w:rsidP="008D6886">
      <w:pPr>
        <w:pStyle w:val="ROMANOS"/>
        <w:spacing w:after="100" w:line="286" w:lineRule="exact"/>
      </w:pPr>
      <w:r>
        <w:t>●</w:t>
      </w:r>
      <w:r w:rsidR="0011421F" w:rsidRPr="00C354B7">
        <w:tab/>
        <w:t>Permita que los registros se efectúen considerando la base acumulativa para la integración de la información contable y presupuestaria;</w:t>
      </w:r>
    </w:p>
    <w:p w:rsidR="0011421F" w:rsidRPr="00C354B7" w:rsidRDefault="00AE5B04" w:rsidP="008D6886">
      <w:pPr>
        <w:pStyle w:val="ROMANOS"/>
        <w:spacing w:after="100" w:line="286" w:lineRule="exact"/>
      </w:pPr>
      <w:r>
        <w:t>●</w:t>
      </w:r>
      <w:r w:rsidR="0011421F" w:rsidRPr="00C354B7">
        <w:tab/>
        <w:t>Refleje un registro congruente y ordenado de cada operación que genere derechos y obligaciones derivados de la gestión económico-financiera de los entes públicos;</w:t>
      </w:r>
    </w:p>
    <w:p w:rsidR="0011421F" w:rsidRPr="00C354B7" w:rsidRDefault="00AE5B04" w:rsidP="008D6886">
      <w:pPr>
        <w:pStyle w:val="ROMANOS"/>
        <w:spacing w:after="100" w:line="286" w:lineRule="exact"/>
      </w:pPr>
      <w:r>
        <w:t>●</w:t>
      </w:r>
      <w:r w:rsidR="0011421F" w:rsidRPr="00C354B7">
        <w:tab/>
        <w:t>Genere, en tiempo real, estados financieros, de ejecución presupuestaria y otra información que coadyuve a la toma de decisiones, a la transparencia, a la programación con base en resultados, a la evaluación y a la rendición de cuentas, y</w:t>
      </w:r>
    </w:p>
    <w:p w:rsidR="0011421F" w:rsidRPr="00C354B7" w:rsidRDefault="00AE5B04" w:rsidP="008D6886">
      <w:pPr>
        <w:pStyle w:val="ROMANOS"/>
        <w:spacing w:after="100" w:line="286" w:lineRule="exact"/>
      </w:pPr>
      <w:r>
        <w:t>●</w:t>
      </w:r>
      <w:r w:rsidR="0011421F" w:rsidRPr="00C354B7">
        <w:tab/>
        <w:t>Facilite el registro y control de los inventarios de los bienes muebles e inmuebles de los entes públicos.</w:t>
      </w:r>
    </w:p>
    <w:p w:rsidR="0011421F" w:rsidRPr="00C354B7" w:rsidRDefault="0011421F" w:rsidP="008D6886">
      <w:pPr>
        <w:pStyle w:val="Texto"/>
        <w:spacing w:after="100" w:line="286" w:lineRule="exact"/>
        <w:rPr>
          <w:szCs w:val="24"/>
        </w:rPr>
      </w:pPr>
      <w:r w:rsidRPr="00C354B7">
        <w:rPr>
          <w:szCs w:val="24"/>
        </w:rPr>
        <w:lastRenderedPageBreak/>
        <w:t>V.- Los registros contables de los entes públicos se llevarán con base acumulativa. La contabilización de las transacciones de ingreso se registrará cuando exista jurídicamente el derecho de cobro.</w:t>
      </w:r>
    </w:p>
    <w:p w:rsidR="0011421F" w:rsidRPr="00C354B7" w:rsidRDefault="0011421F" w:rsidP="008D6886">
      <w:pPr>
        <w:pStyle w:val="Texto"/>
        <w:spacing w:after="100" w:line="303" w:lineRule="exact"/>
        <w:rPr>
          <w:szCs w:val="24"/>
        </w:rPr>
      </w:pPr>
      <w:r w:rsidRPr="00C354B7">
        <w:rPr>
          <w:szCs w:val="24"/>
        </w:rPr>
        <w:t xml:space="preserve">VI.- El registro de las etapas del presupuesto en lo relativo a </w:t>
      </w:r>
      <w:smartTag w:uri="urn:schemas-microsoft-com:office:smarttags" w:element="PersonName">
        <w:smartTagPr>
          <w:attr w:name="ProductID" w:val="La Ley"/>
        </w:smartTagPr>
        <w:r w:rsidRPr="00C354B7">
          <w:rPr>
            <w:szCs w:val="24"/>
          </w:rPr>
          <w:t>la Ley</w:t>
        </w:r>
      </w:smartTag>
      <w:r w:rsidRPr="00C354B7">
        <w:rPr>
          <w:szCs w:val="24"/>
        </w:rPr>
        <w:t xml:space="preserve"> de Ingresos de los entes públicos se efectuará en las cuentas contables que, para tal efecto, establezca el CONAC, las cuales deberán reflejar: el estimado, modificado, devengado y recaudado.</w:t>
      </w:r>
    </w:p>
    <w:p w:rsidR="0011421F" w:rsidRPr="00C354B7" w:rsidRDefault="0011421F" w:rsidP="008D6886">
      <w:pPr>
        <w:pStyle w:val="Texto"/>
        <w:spacing w:after="100" w:line="303" w:lineRule="exact"/>
        <w:rPr>
          <w:szCs w:val="24"/>
        </w:rPr>
      </w:pPr>
      <w:r w:rsidRPr="00C354B7">
        <w:rPr>
          <w:szCs w:val="24"/>
        </w:rPr>
        <w:t xml:space="preserve">VII.- El momento contable del ingreso estimado es el que se aprueba anualmente en </w:t>
      </w:r>
      <w:smartTag w:uri="urn:schemas-microsoft-com:office:smarttags" w:element="PersonName">
        <w:smartTagPr>
          <w:attr w:name="ProductID" w:val="La Ley"/>
        </w:smartTagPr>
        <w:r w:rsidRPr="00C354B7">
          <w:rPr>
            <w:szCs w:val="24"/>
          </w:rPr>
          <w:t>la Ley</w:t>
        </w:r>
      </w:smartTag>
      <w:r w:rsidRPr="00C354B7">
        <w:rPr>
          <w:szCs w:val="24"/>
        </w:rPr>
        <w:t xml:space="preserve"> de Ingresos, e incluyen los impuestos, cuotas y aportaciones de seguridad social, contribuciones de mejoras, derechos, productos, aprovechamientos, financiamientos internos y externos; así como de la venta de bienes y servicios, además de participaciones, aportaciones, recursos convenidos, y otros ingresos.</w:t>
      </w:r>
    </w:p>
    <w:p w:rsidR="0011421F" w:rsidRPr="00C354B7" w:rsidRDefault="0011421F" w:rsidP="008D6886">
      <w:pPr>
        <w:pStyle w:val="Texto"/>
        <w:spacing w:after="100" w:line="303" w:lineRule="exact"/>
        <w:rPr>
          <w:szCs w:val="24"/>
        </w:rPr>
      </w:pPr>
      <w:r w:rsidRPr="00C354B7">
        <w:rPr>
          <w:szCs w:val="24"/>
        </w:rPr>
        <w:t xml:space="preserve">VIII.- El ingreso modificado es el momento contable que refleja la asignación presupuestaria en lo relativo a </w:t>
      </w:r>
      <w:smartTag w:uri="urn:schemas-microsoft-com:office:smarttags" w:element="PersonName">
        <w:smartTagPr>
          <w:attr w:name="ProductID" w:val="La Ley"/>
        </w:smartTagPr>
        <w:r w:rsidRPr="00C354B7">
          <w:rPr>
            <w:szCs w:val="24"/>
          </w:rPr>
          <w:t>la Ley</w:t>
        </w:r>
      </w:smartTag>
      <w:r w:rsidRPr="00C354B7">
        <w:rPr>
          <w:szCs w:val="24"/>
        </w:rPr>
        <w:t xml:space="preserve"> de Ingresos que resulta de incorporar en su caso, las modificaciones al ingreso estimado, previstas en </w:t>
      </w:r>
      <w:smartTag w:uri="urn:schemas-microsoft-com:office:smarttags" w:element="PersonName">
        <w:smartTagPr>
          <w:attr w:name="ProductID" w:val="La Ley"/>
        </w:smartTagPr>
        <w:r w:rsidRPr="00C354B7">
          <w:rPr>
            <w:szCs w:val="24"/>
          </w:rPr>
          <w:t>la Ley</w:t>
        </w:r>
      </w:smartTag>
      <w:r w:rsidRPr="00C354B7">
        <w:rPr>
          <w:szCs w:val="24"/>
        </w:rPr>
        <w:t xml:space="preserve"> de Ingresos.</w:t>
      </w:r>
    </w:p>
    <w:p w:rsidR="0011421F" w:rsidRPr="00C354B7" w:rsidRDefault="0011421F" w:rsidP="008D6886">
      <w:pPr>
        <w:pStyle w:val="Texto"/>
        <w:spacing w:after="100" w:line="303" w:lineRule="exact"/>
        <w:rPr>
          <w:szCs w:val="24"/>
        </w:rPr>
      </w:pPr>
      <w:r w:rsidRPr="00C354B7">
        <w:rPr>
          <w:szCs w:val="24"/>
        </w:rPr>
        <w:t>IX.- El ingreso devengado es el momento contable que se realiza cuando existe jurídicamente el derecho de cobro de los impuestos, cuotas y aportaciones de seguridad social, contribuciones de mejoras, derechos, productos, aprovechamientos, financiamientos internos y externos; así como de la venta de bienes y servicios, además de participaciones, aportaciones, recursos convenidos, y otros ingresos por parte de los entes públicos. En el caso de resoluciones en firme (definitivas) y pago en parcialidades se deberán reconocer cuando ocurre la notificación de la resolución y/o en la firma del convenio de pago en parcialidades, respectivamente.</w:t>
      </w:r>
    </w:p>
    <w:p w:rsidR="0011421F" w:rsidRPr="00C354B7" w:rsidRDefault="0011421F" w:rsidP="008D6886">
      <w:pPr>
        <w:pStyle w:val="Texto"/>
        <w:spacing w:after="100" w:line="303" w:lineRule="exact"/>
        <w:rPr>
          <w:szCs w:val="24"/>
        </w:rPr>
      </w:pPr>
      <w:r w:rsidRPr="00C354B7">
        <w:rPr>
          <w:szCs w:val="24"/>
        </w:rPr>
        <w:t>X.- El ingreso recaudado es el momento contable que refleja el cobro en efectivo o cualquier otro medio de pago de los impuestos, cuotas y aportaciones de seguridad social, contribuciones de mejoras, derechos, productos, aprovechamientos, financiamientos internos y externos; así como de la venta de bienes y servicios, además de participaciones, aportaciones, recursos convenidos, y otros ingresos por parte de los entes públicos.</w:t>
      </w:r>
    </w:p>
    <w:p w:rsidR="0011421F" w:rsidRPr="00C354B7" w:rsidRDefault="0011421F" w:rsidP="008D6886">
      <w:pPr>
        <w:pStyle w:val="Texto"/>
        <w:spacing w:after="100" w:line="303" w:lineRule="exact"/>
        <w:rPr>
          <w:szCs w:val="24"/>
        </w:rPr>
      </w:pPr>
      <w:r w:rsidRPr="00C354B7">
        <w:rPr>
          <w:szCs w:val="24"/>
        </w:rPr>
        <w:t>XI.- Cuando los entes públicos cuenten con los elementos que identifique el hecho imponible, el contribuyente y se pueda establecer el importe de los impuestos, cuotas y aportaciones de seguridad social, contribuciones de mejoras, derechos, productos y aprovechamientos, emitiéndose el documento de pago y señalando la fecha límite para realizarlo de acuerdo a los plazos establecidos en las leyes respectivas, se entenderá como determinable. Asimismo, se considerará como autodeterminable cuando corresponda a los contribuyentes la determinación.</w:t>
      </w:r>
    </w:p>
    <w:p w:rsidR="0011421F" w:rsidRPr="00C354B7" w:rsidRDefault="0011421F" w:rsidP="008D6886">
      <w:pPr>
        <w:pStyle w:val="Texto"/>
        <w:spacing w:after="100" w:line="303" w:lineRule="exact"/>
        <w:rPr>
          <w:szCs w:val="24"/>
        </w:rPr>
      </w:pPr>
      <w:r w:rsidRPr="00C354B7">
        <w:rPr>
          <w:szCs w:val="24"/>
        </w:rPr>
        <w:t>XII.- Excepcionalmente, cuando por la naturaleza de las operaciones no sea posible el registro consecutivo de todos los momentos contables de los ingresos, se registrarán simultáneamente de acuerdo a lineamientos previamente definidos por las unidades administrativas o instancias competentes en materia de Contabilidad Gubernamental.</w:t>
      </w:r>
    </w:p>
    <w:p w:rsidR="0011421F" w:rsidRPr="00C354B7" w:rsidRDefault="0011421F" w:rsidP="008D6886">
      <w:pPr>
        <w:pStyle w:val="Texto"/>
        <w:spacing w:after="100" w:line="303" w:lineRule="exact"/>
        <w:rPr>
          <w:szCs w:val="24"/>
        </w:rPr>
      </w:pPr>
      <w:r w:rsidRPr="00C354B7">
        <w:rPr>
          <w:szCs w:val="24"/>
        </w:rPr>
        <w:t>XIII.- Las unidades administrativas o instancias competentes en materia de Contabilidad Gubernamental de cada orden de gobierno, deberán establecer los documentos con los cuales se registrarán los momentos contables de los ingresos.</w:t>
      </w:r>
    </w:p>
    <w:p w:rsidR="0011421F" w:rsidRPr="00C354B7" w:rsidRDefault="0011421F" w:rsidP="008D6886">
      <w:pPr>
        <w:pStyle w:val="Texto"/>
        <w:spacing w:after="100" w:line="303" w:lineRule="exact"/>
        <w:rPr>
          <w:szCs w:val="24"/>
        </w:rPr>
      </w:pPr>
      <w:r w:rsidRPr="00C354B7">
        <w:rPr>
          <w:szCs w:val="24"/>
        </w:rPr>
        <w:t>XIV.- Los criterios de registro generales para el tratamiento de los momentos contables de los ingresos devengado y recaudado, se detallan en el ANEXO I, el cual es parte integrante del presente documento.</w:t>
      </w:r>
    </w:p>
    <w:p w:rsidR="0011421F" w:rsidRPr="00C354B7" w:rsidRDefault="0011421F" w:rsidP="008D6886">
      <w:pPr>
        <w:pStyle w:val="Texto"/>
        <w:spacing w:after="100" w:line="303" w:lineRule="exact"/>
        <w:rPr>
          <w:szCs w:val="24"/>
        </w:rPr>
      </w:pPr>
      <w:r w:rsidRPr="00C354B7">
        <w:rPr>
          <w:szCs w:val="24"/>
        </w:rPr>
        <w:t xml:space="preserve">XV.- De conformidad con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en su artículo 11, fracciones X y XI, corresponde al Secretario Técnico del CONAC emitir opinión o resolver consultas en los asuntos vinculados con la </w:t>
      </w:r>
      <w:r w:rsidRPr="00C354B7">
        <w:rPr>
          <w:szCs w:val="24"/>
        </w:rPr>
        <w:lastRenderedPageBreak/>
        <w:t>contabilidad; interpretar las normas contables y disposiciones que son objeto de su función normativa; en tanto se analiza y emite la normatividad necesaria.</w:t>
      </w:r>
    </w:p>
    <w:p w:rsidR="0011421F" w:rsidRPr="00C354B7" w:rsidRDefault="0011421F" w:rsidP="00E22817">
      <w:pPr>
        <w:pStyle w:val="Texto"/>
        <w:rPr>
          <w:szCs w:val="24"/>
          <w:lang w:val="es-MX"/>
        </w:rPr>
        <w:sectPr w:rsidR="0011421F" w:rsidRPr="00C354B7" w:rsidSect="00E22817">
          <w:headerReference w:type="even" r:id="rId7"/>
          <w:headerReference w:type="default" r:id="rId8"/>
          <w:footerReference w:type="first" r:id="rId9"/>
          <w:pgSz w:w="12240" w:h="15840" w:code="1"/>
          <w:pgMar w:top="1152" w:right="1699" w:bottom="1296" w:left="1699" w:header="706" w:footer="706" w:gutter="0"/>
          <w:cols w:space="708"/>
          <w:docGrid w:linePitch="360"/>
        </w:sectPr>
      </w:pPr>
    </w:p>
    <w:p w:rsidR="00953A77" w:rsidRDefault="00953A77" w:rsidP="00AE5B04">
      <w:pPr>
        <w:pStyle w:val="Texto"/>
        <w:spacing w:after="0"/>
        <w:ind w:firstLine="0"/>
        <w:jc w:val="center"/>
      </w:pPr>
    </w:p>
    <w:p w:rsidR="00953A77" w:rsidRDefault="00953A77" w:rsidP="00AE5B04">
      <w:pPr>
        <w:pStyle w:val="Texto"/>
        <w:spacing w:after="0"/>
        <w:ind w:firstLine="0"/>
        <w:jc w:val="center"/>
      </w:pPr>
    </w:p>
    <w:p w:rsidR="00953A77" w:rsidRDefault="00953A77" w:rsidP="00AE5B04">
      <w:pPr>
        <w:pStyle w:val="Texto"/>
        <w:spacing w:after="0"/>
        <w:ind w:firstLine="0"/>
        <w:jc w:val="center"/>
      </w:pPr>
    </w:p>
    <w:p w:rsidR="00953A77" w:rsidRDefault="00953A77" w:rsidP="00AE5B04">
      <w:pPr>
        <w:pStyle w:val="Texto"/>
        <w:spacing w:after="0"/>
        <w:ind w:firstLine="0"/>
        <w:jc w:val="center"/>
      </w:pPr>
    </w:p>
    <w:p w:rsidR="00AE5B04" w:rsidRDefault="00AE5B04" w:rsidP="00AE5B04">
      <w:pPr>
        <w:pStyle w:val="Texto"/>
        <w:spacing w:after="0"/>
        <w:ind w:firstLine="0"/>
        <w:jc w:val="center"/>
      </w:pPr>
      <w:r>
        <w:t xml:space="preserve">CRITERIOS DE REGISTRO GENERALES PARA EL TRATAMIENTO DE LOS </w:t>
      </w:r>
    </w:p>
    <w:p w:rsidR="00AE5B04" w:rsidRDefault="00AE5B04" w:rsidP="00AE5B04">
      <w:pPr>
        <w:pStyle w:val="Texto"/>
        <w:ind w:firstLine="0"/>
        <w:jc w:val="center"/>
      </w:pPr>
      <w:r>
        <w:t>MOMENTOS CONTABLES DE LOS INGRESOS</w:t>
      </w:r>
      <w:r w:rsidR="00B86C3D">
        <w:t xml:space="preserve"> DEVENGADO </w:t>
      </w:r>
      <w:r>
        <w:t>Y RECAUDADO</w:t>
      </w:r>
    </w:p>
    <w:p w:rsidR="0011421F" w:rsidRDefault="0011421F" w:rsidP="00AE5B04">
      <w:pPr>
        <w:pStyle w:val="Texto"/>
        <w:jc w:val="right"/>
        <w:rPr>
          <w:b/>
          <w:szCs w:val="24"/>
        </w:rPr>
      </w:pPr>
      <w:r w:rsidRPr="00C354B7">
        <w:rPr>
          <w:b/>
          <w:szCs w:val="24"/>
        </w:rPr>
        <w:t>ANEXO I</w:t>
      </w:r>
    </w:p>
    <w:p w:rsidR="008D6886" w:rsidRPr="00C354B7" w:rsidRDefault="008D6886" w:rsidP="00AE5B04">
      <w:pPr>
        <w:pStyle w:val="Texto"/>
        <w:jc w:val="right"/>
        <w:rPr>
          <w:b/>
          <w:szCs w:val="24"/>
        </w:rPr>
      </w:pPr>
    </w:p>
    <w:tbl>
      <w:tblPr>
        <w:tblW w:w="13176" w:type="dxa"/>
        <w:tblInd w:w="144" w:type="dxa"/>
        <w:tblLayout w:type="fixed"/>
        <w:tblCellMar>
          <w:left w:w="72" w:type="dxa"/>
          <w:right w:w="72" w:type="dxa"/>
        </w:tblCellMar>
        <w:tblLook w:val="0000"/>
      </w:tblPr>
      <w:tblGrid>
        <w:gridCol w:w="2666"/>
        <w:gridCol w:w="3223"/>
        <w:gridCol w:w="3246"/>
        <w:gridCol w:w="78"/>
        <w:gridCol w:w="3963"/>
      </w:tblGrid>
      <w:tr w:rsidR="0011421F" w:rsidRPr="00C354B7">
        <w:tblPrEx>
          <w:tblCellMar>
            <w:top w:w="0" w:type="dxa"/>
            <w:bottom w:w="0" w:type="dxa"/>
          </w:tblCellMar>
        </w:tblPrEx>
        <w:trPr>
          <w:cantSplit/>
          <w:trHeight w:val="20"/>
        </w:trPr>
        <w:tc>
          <w:tcPr>
            <w:tcW w:w="5889" w:type="dxa"/>
            <w:gridSpan w:val="2"/>
            <w:tcBorders>
              <w:top w:val="single" w:sz="6" w:space="0" w:color="auto"/>
              <w:left w:val="single" w:sz="6" w:space="0" w:color="auto"/>
              <w:bottom w:val="single" w:sz="6" w:space="0" w:color="auto"/>
              <w:right w:val="single" w:sz="6" w:space="0" w:color="auto"/>
            </w:tcBorders>
            <w:noWrap/>
            <w:tcMar>
              <w:left w:w="72" w:type="dxa"/>
              <w:right w:w="72" w:type="dxa"/>
            </w:tcMar>
            <w:vAlign w:val="center"/>
          </w:tcPr>
          <w:p w:rsidR="0011421F" w:rsidRPr="00C354B7" w:rsidRDefault="0011421F" w:rsidP="00953A77">
            <w:pPr>
              <w:pStyle w:val="Texto"/>
              <w:spacing w:line="380" w:lineRule="exact"/>
              <w:ind w:firstLine="0"/>
              <w:jc w:val="center"/>
              <w:rPr>
                <w:sz w:val="16"/>
                <w:szCs w:val="24"/>
              </w:rPr>
            </w:pPr>
            <w:r w:rsidRPr="00C354B7">
              <w:rPr>
                <w:b/>
                <w:sz w:val="16"/>
                <w:szCs w:val="24"/>
              </w:rPr>
              <w:t>INGRESOS</w:t>
            </w:r>
          </w:p>
        </w:tc>
        <w:tc>
          <w:tcPr>
            <w:tcW w:w="3246" w:type="dxa"/>
            <w:tcBorders>
              <w:top w:val="single" w:sz="6" w:space="0" w:color="auto"/>
              <w:left w:val="single" w:sz="6" w:space="0" w:color="auto"/>
              <w:bottom w:val="single" w:sz="6" w:space="0" w:color="auto"/>
              <w:right w:val="single" w:sz="6" w:space="0" w:color="auto"/>
            </w:tcBorders>
            <w:vAlign w:val="center"/>
          </w:tcPr>
          <w:p w:rsidR="0011421F" w:rsidRPr="00C354B7" w:rsidRDefault="0011421F" w:rsidP="00953A77">
            <w:pPr>
              <w:pStyle w:val="Texto"/>
              <w:spacing w:line="380" w:lineRule="exact"/>
              <w:ind w:firstLine="0"/>
              <w:jc w:val="center"/>
              <w:rPr>
                <w:sz w:val="16"/>
                <w:szCs w:val="24"/>
              </w:rPr>
            </w:pPr>
            <w:r w:rsidRPr="00C354B7">
              <w:rPr>
                <w:b/>
                <w:sz w:val="16"/>
                <w:szCs w:val="24"/>
              </w:rPr>
              <w:t>DEVENGADO</w:t>
            </w:r>
          </w:p>
        </w:tc>
        <w:tc>
          <w:tcPr>
            <w:tcW w:w="4041" w:type="dxa"/>
            <w:gridSpan w:val="2"/>
            <w:tcBorders>
              <w:top w:val="single" w:sz="6" w:space="0" w:color="auto"/>
              <w:left w:val="single" w:sz="6" w:space="0" w:color="auto"/>
              <w:bottom w:val="single" w:sz="6" w:space="0" w:color="auto"/>
              <w:right w:val="single" w:sz="6" w:space="0" w:color="auto"/>
            </w:tcBorders>
            <w:vAlign w:val="center"/>
          </w:tcPr>
          <w:p w:rsidR="0011421F" w:rsidRPr="00C354B7" w:rsidRDefault="0011421F" w:rsidP="00953A77">
            <w:pPr>
              <w:pStyle w:val="Texto"/>
              <w:spacing w:line="380" w:lineRule="exact"/>
              <w:ind w:firstLine="0"/>
              <w:jc w:val="center"/>
              <w:rPr>
                <w:sz w:val="16"/>
                <w:szCs w:val="24"/>
              </w:rPr>
            </w:pPr>
            <w:r w:rsidRPr="00C354B7">
              <w:rPr>
                <w:b/>
                <w:sz w:val="16"/>
                <w:szCs w:val="24"/>
              </w:rPr>
              <w:t>RECAUDADO</w:t>
            </w:r>
          </w:p>
        </w:tc>
      </w:tr>
      <w:tr w:rsidR="00953A77" w:rsidRPr="00C354B7">
        <w:tblPrEx>
          <w:tblCellMar>
            <w:top w:w="0" w:type="dxa"/>
            <w:bottom w:w="0" w:type="dxa"/>
          </w:tblCellMar>
        </w:tblPrEx>
        <w:trPr>
          <w:cantSplit/>
          <w:trHeight w:val="20"/>
        </w:trPr>
        <w:tc>
          <w:tcPr>
            <w:tcW w:w="2666" w:type="dxa"/>
            <w:vMerge w:val="restart"/>
            <w:tcBorders>
              <w:top w:val="single" w:sz="6" w:space="0" w:color="auto"/>
              <w:left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Impuestos</w:t>
            </w:r>
          </w:p>
        </w:tc>
        <w:tc>
          <w:tcPr>
            <w:tcW w:w="3223"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Determinable</w:t>
            </w:r>
          </w:p>
        </w:tc>
        <w:tc>
          <w:tcPr>
            <w:tcW w:w="3246"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 la emisión del documento de cobro.</w:t>
            </w:r>
          </w:p>
        </w:tc>
        <w:tc>
          <w:tcPr>
            <w:tcW w:w="4041" w:type="dxa"/>
            <w:gridSpan w:val="2"/>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Al momento de percepción del recurso.</w:t>
            </w:r>
          </w:p>
        </w:tc>
      </w:tr>
      <w:tr w:rsidR="00953A77" w:rsidRPr="00C354B7">
        <w:tblPrEx>
          <w:tblCellMar>
            <w:top w:w="0" w:type="dxa"/>
            <w:bottom w:w="0" w:type="dxa"/>
          </w:tblCellMar>
        </w:tblPrEx>
        <w:trPr>
          <w:cantSplit/>
          <w:trHeight w:val="20"/>
        </w:trPr>
        <w:tc>
          <w:tcPr>
            <w:tcW w:w="2666" w:type="dxa"/>
            <w:vMerge/>
            <w:tcBorders>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p>
        </w:tc>
        <w:tc>
          <w:tcPr>
            <w:tcW w:w="3223"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Autodeterminable</w:t>
            </w:r>
          </w:p>
        </w:tc>
        <w:tc>
          <w:tcPr>
            <w:tcW w:w="7287" w:type="dxa"/>
            <w:gridSpan w:val="3"/>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Al momento de percepción del recurso.</w:t>
            </w:r>
          </w:p>
        </w:tc>
      </w:tr>
      <w:tr w:rsidR="0011421F" w:rsidRPr="00C354B7">
        <w:tblPrEx>
          <w:tblCellMar>
            <w:top w:w="0" w:type="dxa"/>
            <w:bottom w:w="0" w:type="dxa"/>
          </w:tblCellMar>
        </w:tblPrEx>
        <w:trPr>
          <w:cantSplit/>
          <w:trHeight w:val="20"/>
        </w:trPr>
        <w:tc>
          <w:tcPr>
            <w:tcW w:w="5889" w:type="dxa"/>
            <w:gridSpan w:val="2"/>
            <w:tcBorders>
              <w:top w:val="single" w:sz="6" w:space="0" w:color="auto"/>
              <w:left w:val="single" w:sz="6" w:space="0" w:color="auto"/>
              <w:bottom w:val="single" w:sz="6" w:space="0" w:color="auto"/>
              <w:right w:val="single" w:sz="6" w:space="0" w:color="auto"/>
            </w:tcBorders>
            <w:vAlign w:val="center"/>
          </w:tcPr>
          <w:p w:rsidR="0011421F" w:rsidRPr="00C354B7" w:rsidRDefault="0011421F" w:rsidP="00953A77">
            <w:pPr>
              <w:pStyle w:val="Texto"/>
              <w:spacing w:line="380" w:lineRule="exact"/>
              <w:ind w:firstLine="0"/>
              <w:jc w:val="center"/>
              <w:rPr>
                <w:sz w:val="16"/>
                <w:szCs w:val="24"/>
              </w:rPr>
            </w:pPr>
            <w:r w:rsidRPr="00C354B7">
              <w:rPr>
                <w:sz w:val="16"/>
                <w:szCs w:val="24"/>
              </w:rPr>
              <w:t>Devolución</w:t>
            </w:r>
          </w:p>
        </w:tc>
        <w:tc>
          <w:tcPr>
            <w:tcW w:w="7287" w:type="dxa"/>
            <w:gridSpan w:val="3"/>
            <w:tcBorders>
              <w:top w:val="single" w:sz="6" w:space="0" w:color="auto"/>
              <w:left w:val="single" w:sz="6" w:space="0" w:color="auto"/>
              <w:bottom w:val="single" w:sz="6" w:space="0" w:color="auto"/>
              <w:right w:val="single" w:sz="6" w:space="0" w:color="auto"/>
            </w:tcBorders>
            <w:vAlign w:val="center"/>
          </w:tcPr>
          <w:p w:rsidR="0011421F" w:rsidRPr="00C354B7" w:rsidRDefault="0011421F" w:rsidP="00953A77">
            <w:pPr>
              <w:pStyle w:val="Texto"/>
              <w:spacing w:line="380" w:lineRule="exact"/>
              <w:ind w:firstLine="0"/>
              <w:jc w:val="center"/>
              <w:rPr>
                <w:sz w:val="16"/>
                <w:szCs w:val="24"/>
              </w:rPr>
            </w:pPr>
            <w:r w:rsidRPr="00C354B7">
              <w:rPr>
                <w:sz w:val="16"/>
                <w:szCs w:val="24"/>
              </w:rPr>
              <w:t>Al momento de efectuar la devolución.</w:t>
            </w:r>
          </w:p>
        </w:tc>
      </w:tr>
      <w:tr w:rsidR="0011421F" w:rsidRPr="00C354B7">
        <w:tblPrEx>
          <w:tblCellMar>
            <w:top w:w="0" w:type="dxa"/>
            <w:bottom w:w="0" w:type="dxa"/>
          </w:tblCellMar>
        </w:tblPrEx>
        <w:trPr>
          <w:cantSplit/>
          <w:trHeight w:val="20"/>
        </w:trPr>
        <w:tc>
          <w:tcPr>
            <w:tcW w:w="5889" w:type="dxa"/>
            <w:gridSpan w:val="2"/>
            <w:tcBorders>
              <w:top w:val="single" w:sz="6" w:space="0" w:color="auto"/>
              <w:left w:val="single" w:sz="6" w:space="0" w:color="auto"/>
              <w:bottom w:val="single" w:sz="6" w:space="0" w:color="auto"/>
              <w:right w:val="single" w:sz="6" w:space="0" w:color="auto"/>
            </w:tcBorders>
            <w:vAlign w:val="center"/>
          </w:tcPr>
          <w:p w:rsidR="0011421F" w:rsidRPr="00C354B7" w:rsidRDefault="0011421F" w:rsidP="00953A77">
            <w:pPr>
              <w:pStyle w:val="Texto"/>
              <w:spacing w:line="380" w:lineRule="exact"/>
              <w:ind w:firstLine="0"/>
              <w:jc w:val="center"/>
              <w:rPr>
                <w:sz w:val="16"/>
                <w:szCs w:val="24"/>
              </w:rPr>
            </w:pPr>
            <w:r w:rsidRPr="00C354B7">
              <w:rPr>
                <w:sz w:val="16"/>
                <w:szCs w:val="24"/>
              </w:rPr>
              <w:t>Compensación</w:t>
            </w:r>
          </w:p>
        </w:tc>
        <w:tc>
          <w:tcPr>
            <w:tcW w:w="7287" w:type="dxa"/>
            <w:gridSpan w:val="3"/>
            <w:tcBorders>
              <w:top w:val="single" w:sz="6" w:space="0" w:color="auto"/>
              <w:left w:val="single" w:sz="6" w:space="0" w:color="auto"/>
              <w:bottom w:val="single" w:sz="6" w:space="0" w:color="auto"/>
              <w:right w:val="single" w:sz="6" w:space="0" w:color="auto"/>
            </w:tcBorders>
            <w:vAlign w:val="center"/>
          </w:tcPr>
          <w:p w:rsidR="0011421F" w:rsidRPr="00C354B7" w:rsidRDefault="0011421F" w:rsidP="00953A77">
            <w:pPr>
              <w:pStyle w:val="Texto"/>
              <w:spacing w:line="380" w:lineRule="exact"/>
              <w:ind w:firstLine="0"/>
              <w:jc w:val="center"/>
              <w:rPr>
                <w:sz w:val="16"/>
                <w:szCs w:val="24"/>
              </w:rPr>
            </w:pPr>
            <w:r w:rsidRPr="00C354B7">
              <w:rPr>
                <w:sz w:val="16"/>
                <w:szCs w:val="24"/>
              </w:rPr>
              <w:t>Al momento de efectuar la compensación.</w:t>
            </w:r>
          </w:p>
        </w:tc>
      </w:tr>
      <w:tr w:rsidR="00953A77" w:rsidRPr="00C354B7">
        <w:tblPrEx>
          <w:tblCellMar>
            <w:top w:w="0" w:type="dxa"/>
            <w:bottom w:w="0" w:type="dxa"/>
          </w:tblCellMar>
        </w:tblPrEx>
        <w:trPr>
          <w:cantSplit/>
          <w:trHeight w:val="20"/>
        </w:trPr>
        <w:tc>
          <w:tcPr>
            <w:tcW w:w="2666" w:type="dxa"/>
            <w:vMerge w:val="restart"/>
            <w:tcBorders>
              <w:top w:val="single" w:sz="6" w:space="0" w:color="auto"/>
              <w:left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lang w:val="es-MX"/>
              </w:rPr>
              <w:t>Cuotas y aportaciones de seguridad social</w:t>
            </w:r>
          </w:p>
        </w:tc>
        <w:tc>
          <w:tcPr>
            <w:tcW w:w="3223"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Determinable</w:t>
            </w:r>
          </w:p>
        </w:tc>
        <w:tc>
          <w:tcPr>
            <w:tcW w:w="3324" w:type="dxa"/>
            <w:gridSpan w:val="2"/>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 la emisión del documento de cobro.</w:t>
            </w:r>
          </w:p>
        </w:tc>
        <w:tc>
          <w:tcPr>
            <w:tcW w:w="3963"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Al momento de percepción del recurso.</w:t>
            </w:r>
          </w:p>
        </w:tc>
      </w:tr>
      <w:tr w:rsidR="00953A77" w:rsidRPr="00C354B7">
        <w:tblPrEx>
          <w:tblCellMar>
            <w:top w:w="0" w:type="dxa"/>
            <w:bottom w:w="0" w:type="dxa"/>
          </w:tblCellMar>
        </w:tblPrEx>
        <w:trPr>
          <w:cantSplit/>
          <w:trHeight w:val="20"/>
        </w:trPr>
        <w:tc>
          <w:tcPr>
            <w:tcW w:w="2666" w:type="dxa"/>
            <w:vMerge/>
            <w:tcBorders>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p>
        </w:tc>
        <w:tc>
          <w:tcPr>
            <w:tcW w:w="3223"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Autodeterminable</w:t>
            </w:r>
          </w:p>
        </w:tc>
        <w:tc>
          <w:tcPr>
            <w:tcW w:w="7287" w:type="dxa"/>
            <w:gridSpan w:val="3"/>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Al momento de percepción del recurso.</w:t>
            </w:r>
          </w:p>
        </w:tc>
      </w:tr>
      <w:tr w:rsidR="00953A77" w:rsidRPr="00C354B7">
        <w:tblPrEx>
          <w:tblCellMar>
            <w:top w:w="0" w:type="dxa"/>
            <w:bottom w:w="0" w:type="dxa"/>
          </w:tblCellMar>
        </w:tblPrEx>
        <w:trPr>
          <w:cantSplit/>
          <w:trHeight w:val="20"/>
        </w:trPr>
        <w:tc>
          <w:tcPr>
            <w:tcW w:w="2666" w:type="dxa"/>
            <w:vMerge w:val="restart"/>
            <w:tcBorders>
              <w:top w:val="single" w:sz="6" w:space="0" w:color="auto"/>
              <w:left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Contribuciones de</w:t>
            </w:r>
            <w:r w:rsidR="003701B3">
              <w:rPr>
                <w:sz w:val="16"/>
                <w:szCs w:val="24"/>
              </w:rPr>
              <w:t xml:space="preserve"> </w:t>
            </w:r>
            <w:r w:rsidRPr="00C354B7">
              <w:rPr>
                <w:sz w:val="16"/>
                <w:szCs w:val="24"/>
              </w:rPr>
              <w:t>mejoras</w:t>
            </w:r>
          </w:p>
        </w:tc>
        <w:tc>
          <w:tcPr>
            <w:tcW w:w="3223"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Determinable</w:t>
            </w:r>
          </w:p>
        </w:tc>
        <w:tc>
          <w:tcPr>
            <w:tcW w:w="3246"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 la emisión del documento de cobro.</w:t>
            </w:r>
          </w:p>
        </w:tc>
        <w:tc>
          <w:tcPr>
            <w:tcW w:w="4041" w:type="dxa"/>
            <w:gridSpan w:val="2"/>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Al momento de percepción del recurso.</w:t>
            </w:r>
          </w:p>
        </w:tc>
      </w:tr>
      <w:tr w:rsidR="00953A77" w:rsidRPr="00C354B7">
        <w:tblPrEx>
          <w:tblCellMar>
            <w:top w:w="0" w:type="dxa"/>
            <w:bottom w:w="0" w:type="dxa"/>
          </w:tblCellMar>
        </w:tblPrEx>
        <w:trPr>
          <w:cantSplit/>
          <w:trHeight w:val="20"/>
        </w:trPr>
        <w:tc>
          <w:tcPr>
            <w:tcW w:w="2666" w:type="dxa"/>
            <w:vMerge/>
            <w:tcBorders>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p>
        </w:tc>
        <w:tc>
          <w:tcPr>
            <w:tcW w:w="3223"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Autodeterminable</w:t>
            </w:r>
          </w:p>
        </w:tc>
        <w:tc>
          <w:tcPr>
            <w:tcW w:w="7287" w:type="dxa"/>
            <w:gridSpan w:val="3"/>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Al momento de percepción del recurso.</w:t>
            </w:r>
          </w:p>
        </w:tc>
      </w:tr>
      <w:tr w:rsidR="00953A77" w:rsidRPr="00C354B7">
        <w:tblPrEx>
          <w:tblCellMar>
            <w:top w:w="0" w:type="dxa"/>
            <w:bottom w:w="0" w:type="dxa"/>
          </w:tblCellMar>
        </w:tblPrEx>
        <w:trPr>
          <w:cantSplit/>
          <w:trHeight w:val="20"/>
        </w:trPr>
        <w:tc>
          <w:tcPr>
            <w:tcW w:w="2666" w:type="dxa"/>
            <w:vMerge w:val="restart"/>
            <w:tcBorders>
              <w:top w:val="single" w:sz="6" w:space="0" w:color="auto"/>
              <w:left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Derechos</w:t>
            </w:r>
          </w:p>
        </w:tc>
        <w:tc>
          <w:tcPr>
            <w:tcW w:w="3223"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Determinable</w:t>
            </w:r>
          </w:p>
        </w:tc>
        <w:tc>
          <w:tcPr>
            <w:tcW w:w="3246"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 la emisión del documento de cobro.</w:t>
            </w:r>
          </w:p>
        </w:tc>
        <w:tc>
          <w:tcPr>
            <w:tcW w:w="4041" w:type="dxa"/>
            <w:gridSpan w:val="2"/>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Al momento de percepción del recurso.</w:t>
            </w:r>
          </w:p>
        </w:tc>
      </w:tr>
      <w:tr w:rsidR="00953A77" w:rsidRPr="00C354B7">
        <w:tblPrEx>
          <w:tblCellMar>
            <w:top w:w="0" w:type="dxa"/>
            <w:bottom w:w="0" w:type="dxa"/>
          </w:tblCellMar>
        </w:tblPrEx>
        <w:trPr>
          <w:cantSplit/>
          <w:trHeight w:val="20"/>
        </w:trPr>
        <w:tc>
          <w:tcPr>
            <w:tcW w:w="2666" w:type="dxa"/>
            <w:vMerge/>
            <w:tcBorders>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p>
        </w:tc>
        <w:tc>
          <w:tcPr>
            <w:tcW w:w="3223"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Autodeterminable</w:t>
            </w:r>
          </w:p>
        </w:tc>
        <w:tc>
          <w:tcPr>
            <w:tcW w:w="7287" w:type="dxa"/>
            <w:gridSpan w:val="3"/>
            <w:tcBorders>
              <w:top w:val="single" w:sz="6" w:space="0" w:color="auto"/>
              <w:left w:val="single" w:sz="6" w:space="0" w:color="auto"/>
              <w:bottom w:val="single" w:sz="6" w:space="0" w:color="auto"/>
              <w:right w:val="single" w:sz="6" w:space="0" w:color="auto"/>
            </w:tcBorders>
            <w:vAlign w:val="center"/>
          </w:tcPr>
          <w:p w:rsidR="00953A77" w:rsidRPr="00C354B7" w:rsidRDefault="00953A77" w:rsidP="00953A77">
            <w:pPr>
              <w:pStyle w:val="Texto"/>
              <w:spacing w:line="380" w:lineRule="exact"/>
              <w:ind w:firstLine="0"/>
              <w:jc w:val="center"/>
              <w:rPr>
                <w:sz w:val="16"/>
                <w:szCs w:val="24"/>
              </w:rPr>
            </w:pPr>
            <w:r w:rsidRPr="00C354B7">
              <w:rPr>
                <w:sz w:val="16"/>
                <w:szCs w:val="24"/>
              </w:rPr>
              <w:t>Al momento de percepción del recurso.</w:t>
            </w:r>
          </w:p>
        </w:tc>
      </w:tr>
    </w:tbl>
    <w:p w:rsidR="0011421F" w:rsidRDefault="0011421F" w:rsidP="00E22817">
      <w:pPr>
        <w:pStyle w:val="Texto"/>
        <w:rPr>
          <w:szCs w:val="24"/>
        </w:rPr>
      </w:pPr>
    </w:p>
    <w:p w:rsidR="008D6886" w:rsidRDefault="00953A77" w:rsidP="00E22817">
      <w:pPr>
        <w:pStyle w:val="Texto"/>
        <w:rPr>
          <w:szCs w:val="24"/>
        </w:rPr>
      </w:pPr>
      <w:r>
        <w:rPr>
          <w:szCs w:val="24"/>
        </w:rPr>
        <w:br w:type="column"/>
      </w:r>
    </w:p>
    <w:p w:rsidR="00953A77" w:rsidRPr="00C354B7" w:rsidRDefault="00953A77" w:rsidP="00E22817">
      <w:pPr>
        <w:pStyle w:val="Texto"/>
        <w:rPr>
          <w:szCs w:val="24"/>
        </w:rPr>
      </w:pPr>
    </w:p>
    <w:tbl>
      <w:tblPr>
        <w:tblW w:w="13176" w:type="dxa"/>
        <w:tblInd w:w="144" w:type="dxa"/>
        <w:tblLayout w:type="fixed"/>
        <w:tblCellMar>
          <w:left w:w="72" w:type="dxa"/>
          <w:right w:w="72" w:type="dxa"/>
        </w:tblCellMar>
        <w:tblLook w:val="0000"/>
      </w:tblPr>
      <w:tblGrid>
        <w:gridCol w:w="3288"/>
        <w:gridCol w:w="3205"/>
        <w:gridCol w:w="2750"/>
        <w:gridCol w:w="3933"/>
      </w:tblGrid>
      <w:tr w:rsidR="0011421F" w:rsidRPr="00C354B7">
        <w:tblPrEx>
          <w:tblCellMar>
            <w:top w:w="0" w:type="dxa"/>
            <w:bottom w:w="0" w:type="dxa"/>
          </w:tblCellMar>
        </w:tblPrEx>
        <w:trPr>
          <w:cantSplit/>
          <w:trHeight w:val="20"/>
        </w:trPr>
        <w:tc>
          <w:tcPr>
            <w:tcW w:w="6493" w:type="dxa"/>
            <w:gridSpan w:val="2"/>
            <w:tcBorders>
              <w:top w:val="single" w:sz="6" w:space="0" w:color="auto"/>
              <w:left w:val="single" w:sz="6" w:space="0" w:color="auto"/>
              <w:bottom w:val="single" w:sz="6" w:space="0" w:color="auto"/>
              <w:right w:val="single" w:sz="6" w:space="0" w:color="auto"/>
            </w:tcBorders>
            <w:noWrap/>
            <w:tcMar>
              <w:left w:w="72" w:type="dxa"/>
              <w:right w:w="72" w:type="dxa"/>
            </w:tcMar>
            <w:vAlign w:val="center"/>
          </w:tcPr>
          <w:p w:rsidR="0011421F" w:rsidRPr="00C354B7" w:rsidRDefault="0011421F" w:rsidP="008D6886">
            <w:pPr>
              <w:pStyle w:val="Texto"/>
              <w:spacing w:line="320" w:lineRule="exact"/>
              <w:ind w:firstLine="0"/>
              <w:jc w:val="center"/>
              <w:rPr>
                <w:sz w:val="16"/>
                <w:szCs w:val="24"/>
              </w:rPr>
            </w:pPr>
            <w:r w:rsidRPr="00C354B7">
              <w:rPr>
                <w:b/>
                <w:sz w:val="16"/>
                <w:szCs w:val="24"/>
              </w:rPr>
              <w:t>INGRESOS</w:t>
            </w:r>
          </w:p>
        </w:tc>
        <w:tc>
          <w:tcPr>
            <w:tcW w:w="2750" w:type="dxa"/>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b/>
                <w:sz w:val="16"/>
                <w:szCs w:val="24"/>
              </w:rPr>
              <w:t>DEVENGADO</w:t>
            </w:r>
          </w:p>
        </w:tc>
        <w:tc>
          <w:tcPr>
            <w:tcW w:w="3933" w:type="dxa"/>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b/>
                <w:sz w:val="16"/>
                <w:szCs w:val="24"/>
              </w:rPr>
              <w:t>RECAUDADO</w:t>
            </w:r>
          </w:p>
        </w:tc>
      </w:tr>
      <w:tr w:rsidR="00953A77" w:rsidRPr="00C354B7">
        <w:tblPrEx>
          <w:tblCellMar>
            <w:top w:w="0" w:type="dxa"/>
            <w:bottom w:w="0" w:type="dxa"/>
          </w:tblCellMar>
        </w:tblPrEx>
        <w:trPr>
          <w:cantSplit/>
          <w:trHeight w:val="20"/>
        </w:trPr>
        <w:tc>
          <w:tcPr>
            <w:tcW w:w="3288" w:type="dxa"/>
            <w:vMerge w:val="restart"/>
            <w:tcBorders>
              <w:top w:val="single" w:sz="6" w:space="0" w:color="auto"/>
              <w:left w:val="single" w:sz="6" w:space="0" w:color="auto"/>
              <w:right w:val="single" w:sz="6" w:space="0" w:color="auto"/>
            </w:tcBorders>
            <w:vAlign w:val="center"/>
          </w:tcPr>
          <w:p w:rsidR="00953A77" w:rsidRPr="00C354B7" w:rsidRDefault="00953A77" w:rsidP="008D6886">
            <w:pPr>
              <w:pStyle w:val="Texto"/>
              <w:spacing w:line="320" w:lineRule="exact"/>
              <w:ind w:firstLine="0"/>
              <w:jc w:val="center"/>
              <w:rPr>
                <w:sz w:val="16"/>
                <w:szCs w:val="24"/>
              </w:rPr>
            </w:pPr>
            <w:r w:rsidRPr="00C354B7">
              <w:rPr>
                <w:sz w:val="16"/>
                <w:szCs w:val="24"/>
              </w:rPr>
              <w:t>Productos</w:t>
            </w:r>
          </w:p>
        </w:tc>
        <w:tc>
          <w:tcPr>
            <w:tcW w:w="3205"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8D6886">
            <w:pPr>
              <w:pStyle w:val="Texto"/>
              <w:spacing w:line="320" w:lineRule="exact"/>
              <w:ind w:firstLine="0"/>
              <w:jc w:val="center"/>
              <w:rPr>
                <w:sz w:val="16"/>
                <w:szCs w:val="24"/>
              </w:rPr>
            </w:pPr>
            <w:r w:rsidRPr="00C354B7">
              <w:rPr>
                <w:sz w:val="16"/>
                <w:szCs w:val="24"/>
              </w:rPr>
              <w:t>Determinable</w:t>
            </w:r>
          </w:p>
        </w:tc>
        <w:tc>
          <w:tcPr>
            <w:tcW w:w="2750"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8D6886">
            <w:pPr>
              <w:pStyle w:val="Texto"/>
              <w:spacing w:line="320" w:lineRule="exact"/>
              <w:ind w:firstLine="0"/>
              <w:jc w:val="center"/>
              <w:rPr>
                <w:sz w:val="16"/>
                <w:szCs w:val="24"/>
              </w:rPr>
            </w:pPr>
            <w:r w:rsidRPr="00C354B7">
              <w:rPr>
                <w:sz w:val="16"/>
                <w:szCs w:val="24"/>
              </w:rPr>
              <w:t>A la emisión del documento de cobro.</w:t>
            </w:r>
          </w:p>
        </w:tc>
        <w:tc>
          <w:tcPr>
            <w:tcW w:w="3933"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8D6886">
            <w:pPr>
              <w:pStyle w:val="Texto"/>
              <w:spacing w:line="320" w:lineRule="exact"/>
              <w:ind w:firstLine="0"/>
              <w:jc w:val="center"/>
              <w:rPr>
                <w:sz w:val="16"/>
                <w:szCs w:val="24"/>
              </w:rPr>
            </w:pPr>
            <w:r w:rsidRPr="00C354B7">
              <w:rPr>
                <w:sz w:val="16"/>
                <w:szCs w:val="24"/>
              </w:rPr>
              <w:t>Al momento de percepción del recurso.</w:t>
            </w:r>
          </w:p>
        </w:tc>
      </w:tr>
      <w:tr w:rsidR="00953A77" w:rsidRPr="00C354B7">
        <w:tblPrEx>
          <w:tblCellMar>
            <w:top w:w="0" w:type="dxa"/>
            <w:bottom w:w="0" w:type="dxa"/>
          </w:tblCellMar>
        </w:tblPrEx>
        <w:trPr>
          <w:cantSplit/>
          <w:trHeight w:val="20"/>
        </w:trPr>
        <w:tc>
          <w:tcPr>
            <w:tcW w:w="3288" w:type="dxa"/>
            <w:vMerge/>
            <w:tcBorders>
              <w:left w:val="single" w:sz="6" w:space="0" w:color="auto"/>
              <w:bottom w:val="single" w:sz="6" w:space="0" w:color="auto"/>
              <w:right w:val="single" w:sz="6" w:space="0" w:color="auto"/>
            </w:tcBorders>
            <w:vAlign w:val="center"/>
          </w:tcPr>
          <w:p w:rsidR="00953A77" w:rsidRPr="00C354B7" w:rsidRDefault="00953A77" w:rsidP="008D6886">
            <w:pPr>
              <w:pStyle w:val="Texto"/>
              <w:spacing w:line="320" w:lineRule="exact"/>
              <w:ind w:firstLine="0"/>
              <w:jc w:val="center"/>
              <w:rPr>
                <w:sz w:val="16"/>
                <w:szCs w:val="24"/>
              </w:rPr>
            </w:pPr>
          </w:p>
        </w:tc>
        <w:tc>
          <w:tcPr>
            <w:tcW w:w="3205"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8D6886">
            <w:pPr>
              <w:pStyle w:val="Texto"/>
              <w:spacing w:line="320" w:lineRule="exact"/>
              <w:ind w:firstLine="0"/>
              <w:jc w:val="center"/>
              <w:rPr>
                <w:sz w:val="16"/>
                <w:szCs w:val="24"/>
              </w:rPr>
            </w:pPr>
            <w:r w:rsidRPr="00C354B7">
              <w:rPr>
                <w:sz w:val="16"/>
                <w:szCs w:val="24"/>
              </w:rPr>
              <w:t>Autodeterminable</w:t>
            </w:r>
          </w:p>
        </w:tc>
        <w:tc>
          <w:tcPr>
            <w:tcW w:w="6683" w:type="dxa"/>
            <w:gridSpan w:val="2"/>
            <w:tcBorders>
              <w:top w:val="single" w:sz="6" w:space="0" w:color="auto"/>
              <w:left w:val="single" w:sz="6" w:space="0" w:color="auto"/>
              <w:bottom w:val="single" w:sz="6" w:space="0" w:color="auto"/>
              <w:right w:val="single" w:sz="6" w:space="0" w:color="auto"/>
            </w:tcBorders>
            <w:vAlign w:val="center"/>
          </w:tcPr>
          <w:p w:rsidR="00953A77" w:rsidRPr="00C354B7" w:rsidRDefault="00953A77" w:rsidP="008D6886">
            <w:pPr>
              <w:pStyle w:val="Texto"/>
              <w:spacing w:line="320" w:lineRule="exact"/>
              <w:ind w:firstLine="0"/>
              <w:jc w:val="center"/>
              <w:rPr>
                <w:sz w:val="16"/>
                <w:szCs w:val="24"/>
              </w:rPr>
            </w:pPr>
            <w:r w:rsidRPr="00C354B7">
              <w:rPr>
                <w:sz w:val="16"/>
                <w:szCs w:val="24"/>
              </w:rPr>
              <w:t>Al momento de percepción del recurso.</w:t>
            </w:r>
          </w:p>
        </w:tc>
      </w:tr>
      <w:tr w:rsidR="00953A77" w:rsidRPr="00C354B7">
        <w:tblPrEx>
          <w:tblCellMar>
            <w:top w:w="0" w:type="dxa"/>
            <w:bottom w:w="0" w:type="dxa"/>
          </w:tblCellMar>
        </w:tblPrEx>
        <w:trPr>
          <w:cantSplit/>
          <w:trHeight w:val="20"/>
        </w:trPr>
        <w:tc>
          <w:tcPr>
            <w:tcW w:w="3288" w:type="dxa"/>
            <w:vMerge w:val="restart"/>
            <w:tcBorders>
              <w:top w:val="single" w:sz="6" w:space="0" w:color="auto"/>
              <w:left w:val="single" w:sz="6" w:space="0" w:color="auto"/>
              <w:right w:val="single" w:sz="6" w:space="0" w:color="auto"/>
            </w:tcBorders>
            <w:vAlign w:val="center"/>
          </w:tcPr>
          <w:p w:rsidR="00953A77" w:rsidRPr="00C354B7" w:rsidRDefault="00953A77" w:rsidP="008D6886">
            <w:pPr>
              <w:pStyle w:val="Texto"/>
              <w:spacing w:line="320" w:lineRule="exact"/>
              <w:ind w:firstLine="0"/>
              <w:jc w:val="center"/>
              <w:rPr>
                <w:sz w:val="16"/>
                <w:szCs w:val="24"/>
              </w:rPr>
            </w:pPr>
            <w:r w:rsidRPr="00C354B7">
              <w:rPr>
                <w:sz w:val="16"/>
                <w:szCs w:val="24"/>
              </w:rPr>
              <w:t>Aprovechamientos</w:t>
            </w:r>
          </w:p>
        </w:tc>
        <w:tc>
          <w:tcPr>
            <w:tcW w:w="3205"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8D6886">
            <w:pPr>
              <w:pStyle w:val="Texto"/>
              <w:spacing w:line="320" w:lineRule="exact"/>
              <w:ind w:firstLine="0"/>
              <w:jc w:val="center"/>
              <w:rPr>
                <w:sz w:val="16"/>
                <w:szCs w:val="24"/>
              </w:rPr>
            </w:pPr>
            <w:r w:rsidRPr="00C354B7">
              <w:rPr>
                <w:sz w:val="16"/>
                <w:szCs w:val="24"/>
              </w:rPr>
              <w:t>Determinable</w:t>
            </w:r>
          </w:p>
        </w:tc>
        <w:tc>
          <w:tcPr>
            <w:tcW w:w="2750"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8D6886">
            <w:pPr>
              <w:pStyle w:val="Texto"/>
              <w:spacing w:line="320" w:lineRule="exact"/>
              <w:ind w:firstLine="0"/>
              <w:jc w:val="center"/>
              <w:rPr>
                <w:sz w:val="16"/>
                <w:szCs w:val="24"/>
              </w:rPr>
            </w:pPr>
            <w:r w:rsidRPr="00C354B7">
              <w:rPr>
                <w:sz w:val="16"/>
                <w:szCs w:val="24"/>
              </w:rPr>
              <w:t>A la emisión del documento de cobro.</w:t>
            </w:r>
          </w:p>
        </w:tc>
        <w:tc>
          <w:tcPr>
            <w:tcW w:w="3933"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8D6886">
            <w:pPr>
              <w:pStyle w:val="Texto"/>
              <w:spacing w:line="320" w:lineRule="exact"/>
              <w:ind w:firstLine="0"/>
              <w:jc w:val="center"/>
              <w:rPr>
                <w:sz w:val="16"/>
                <w:szCs w:val="24"/>
              </w:rPr>
            </w:pPr>
            <w:r w:rsidRPr="00C354B7">
              <w:rPr>
                <w:sz w:val="16"/>
                <w:szCs w:val="24"/>
              </w:rPr>
              <w:t>Al momento de percepción del recurso.</w:t>
            </w:r>
          </w:p>
        </w:tc>
      </w:tr>
      <w:tr w:rsidR="00953A77" w:rsidRPr="00C354B7">
        <w:tblPrEx>
          <w:tblCellMar>
            <w:top w:w="0" w:type="dxa"/>
            <w:bottom w:w="0" w:type="dxa"/>
          </w:tblCellMar>
        </w:tblPrEx>
        <w:trPr>
          <w:cantSplit/>
          <w:trHeight w:val="20"/>
        </w:trPr>
        <w:tc>
          <w:tcPr>
            <w:tcW w:w="3288" w:type="dxa"/>
            <w:vMerge/>
            <w:tcBorders>
              <w:left w:val="single" w:sz="6" w:space="0" w:color="auto"/>
              <w:bottom w:val="single" w:sz="6" w:space="0" w:color="auto"/>
              <w:right w:val="single" w:sz="6" w:space="0" w:color="auto"/>
            </w:tcBorders>
            <w:vAlign w:val="center"/>
          </w:tcPr>
          <w:p w:rsidR="00953A77" w:rsidRPr="00C354B7" w:rsidRDefault="00953A77" w:rsidP="008D6886">
            <w:pPr>
              <w:pStyle w:val="Texto"/>
              <w:spacing w:line="320" w:lineRule="exact"/>
              <w:ind w:firstLine="0"/>
              <w:jc w:val="center"/>
              <w:rPr>
                <w:sz w:val="16"/>
                <w:szCs w:val="24"/>
              </w:rPr>
            </w:pPr>
          </w:p>
        </w:tc>
        <w:tc>
          <w:tcPr>
            <w:tcW w:w="3205" w:type="dxa"/>
            <w:tcBorders>
              <w:top w:val="single" w:sz="6" w:space="0" w:color="auto"/>
              <w:left w:val="single" w:sz="6" w:space="0" w:color="auto"/>
              <w:bottom w:val="single" w:sz="6" w:space="0" w:color="auto"/>
              <w:right w:val="single" w:sz="6" w:space="0" w:color="auto"/>
            </w:tcBorders>
            <w:vAlign w:val="center"/>
          </w:tcPr>
          <w:p w:rsidR="00953A77" w:rsidRPr="00C354B7" w:rsidRDefault="00953A77" w:rsidP="008D6886">
            <w:pPr>
              <w:pStyle w:val="Texto"/>
              <w:spacing w:line="320" w:lineRule="exact"/>
              <w:ind w:firstLine="0"/>
              <w:jc w:val="center"/>
              <w:rPr>
                <w:sz w:val="16"/>
                <w:szCs w:val="24"/>
              </w:rPr>
            </w:pPr>
            <w:r w:rsidRPr="00C354B7">
              <w:rPr>
                <w:sz w:val="16"/>
                <w:szCs w:val="24"/>
              </w:rPr>
              <w:t>Autodeterminable</w:t>
            </w:r>
          </w:p>
        </w:tc>
        <w:tc>
          <w:tcPr>
            <w:tcW w:w="6683" w:type="dxa"/>
            <w:gridSpan w:val="2"/>
            <w:tcBorders>
              <w:top w:val="single" w:sz="6" w:space="0" w:color="auto"/>
              <w:left w:val="single" w:sz="6" w:space="0" w:color="auto"/>
              <w:bottom w:val="single" w:sz="6" w:space="0" w:color="auto"/>
              <w:right w:val="single" w:sz="6" w:space="0" w:color="auto"/>
            </w:tcBorders>
            <w:vAlign w:val="center"/>
          </w:tcPr>
          <w:p w:rsidR="00953A77" w:rsidRPr="00C354B7" w:rsidRDefault="00953A77" w:rsidP="008D6886">
            <w:pPr>
              <w:pStyle w:val="Texto"/>
              <w:spacing w:line="320" w:lineRule="exact"/>
              <w:ind w:firstLine="0"/>
              <w:jc w:val="center"/>
              <w:rPr>
                <w:sz w:val="16"/>
                <w:szCs w:val="24"/>
              </w:rPr>
            </w:pPr>
            <w:r w:rsidRPr="00C354B7">
              <w:rPr>
                <w:sz w:val="16"/>
                <w:szCs w:val="24"/>
              </w:rPr>
              <w:t>Al momento de percepción del recurso.</w:t>
            </w:r>
          </w:p>
        </w:tc>
      </w:tr>
      <w:tr w:rsidR="0011421F" w:rsidRPr="00C354B7">
        <w:tblPrEx>
          <w:tblCellMar>
            <w:top w:w="0" w:type="dxa"/>
            <w:bottom w:w="0" w:type="dxa"/>
          </w:tblCellMar>
        </w:tblPrEx>
        <w:trPr>
          <w:cantSplit/>
          <w:trHeight w:val="20"/>
        </w:trPr>
        <w:tc>
          <w:tcPr>
            <w:tcW w:w="6493" w:type="dxa"/>
            <w:gridSpan w:val="2"/>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sz w:val="16"/>
                <w:szCs w:val="24"/>
              </w:rPr>
              <w:t>Ingresos por venta de bienes y servicios</w:t>
            </w:r>
          </w:p>
        </w:tc>
        <w:tc>
          <w:tcPr>
            <w:tcW w:w="2750" w:type="dxa"/>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sz w:val="16"/>
                <w:szCs w:val="24"/>
              </w:rPr>
              <w:t>A la emisión de la factura o de conformidad con las condiciones pactadas en los contratos correspondientes.</w:t>
            </w:r>
          </w:p>
        </w:tc>
        <w:tc>
          <w:tcPr>
            <w:tcW w:w="3933" w:type="dxa"/>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sz w:val="16"/>
                <w:szCs w:val="24"/>
              </w:rPr>
              <w:t>Al momento de percepción del recurso por la venta de bienes y servicios.</w:t>
            </w:r>
          </w:p>
        </w:tc>
      </w:tr>
      <w:tr w:rsidR="0011421F" w:rsidRPr="00C354B7">
        <w:tblPrEx>
          <w:tblCellMar>
            <w:top w:w="0" w:type="dxa"/>
            <w:bottom w:w="0" w:type="dxa"/>
          </w:tblCellMar>
        </w:tblPrEx>
        <w:trPr>
          <w:cantSplit/>
          <w:trHeight w:val="20"/>
        </w:trPr>
        <w:tc>
          <w:tcPr>
            <w:tcW w:w="6493" w:type="dxa"/>
            <w:gridSpan w:val="2"/>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sz w:val="16"/>
                <w:szCs w:val="24"/>
              </w:rPr>
              <w:t>Participaciones</w:t>
            </w:r>
          </w:p>
        </w:tc>
        <w:tc>
          <w:tcPr>
            <w:tcW w:w="6683" w:type="dxa"/>
            <w:gridSpan w:val="2"/>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sz w:val="16"/>
                <w:szCs w:val="24"/>
              </w:rPr>
              <w:t>Al momento de percepción del recurso de las participaciones.</w:t>
            </w:r>
          </w:p>
        </w:tc>
      </w:tr>
      <w:tr w:rsidR="0011421F" w:rsidRPr="00C354B7">
        <w:tblPrEx>
          <w:tblCellMar>
            <w:top w:w="0" w:type="dxa"/>
            <w:bottom w:w="0" w:type="dxa"/>
          </w:tblCellMar>
        </w:tblPrEx>
        <w:trPr>
          <w:cantSplit/>
          <w:trHeight w:val="20"/>
        </w:trPr>
        <w:tc>
          <w:tcPr>
            <w:tcW w:w="6493" w:type="dxa"/>
            <w:gridSpan w:val="2"/>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sz w:val="16"/>
                <w:szCs w:val="24"/>
              </w:rPr>
              <w:t>Aportaciones</w:t>
            </w:r>
          </w:p>
        </w:tc>
        <w:tc>
          <w:tcPr>
            <w:tcW w:w="2750" w:type="dxa"/>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sz w:val="16"/>
                <w:szCs w:val="24"/>
              </w:rPr>
              <w:t>De conformidad con los calendarios de pago y cumplimiento de las reglas de operación.</w:t>
            </w:r>
          </w:p>
        </w:tc>
        <w:tc>
          <w:tcPr>
            <w:tcW w:w="3933" w:type="dxa"/>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sz w:val="16"/>
                <w:szCs w:val="24"/>
              </w:rPr>
              <w:t>Al momento de percepción del recurso.</w:t>
            </w:r>
          </w:p>
        </w:tc>
      </w:tr>
      <w:tr w:rsidR="0011421F" w:rsidRPr="00C354B7">
        <w:tblPrEx>
          <w:tblCellMar>
            <w:top w:w="0" w:type="dxa"/>
            <w:bottom w:w="0" w:type="dxa"/>
          </w:tblCellMar>
        </w:tblPrEx>
        <w:trPr>
          <w:cantSplit/>
          <w:trHeight w:val="20"/>
        </w:trPr>
        <w:tc>
          <w:tcPr>
            <w:tcW w:w="6493" w:type="dxa"/>
            <w:gridSpan w:val="2"/>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sz w:val="16"/>
                <w:szCs w:val="24"/>
              </w:rPr>
              <w:t>Recursos por convenios</w:t>
            </w:r>
          </w:p>
        </w:tc>
        <w:tc>
          <w:tcPr>
            <w:tcW w:w="2750" w:type="dxa"/>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sz w:val="16"/>
                <w:szCs w:val="24"/>
              </w:rPr>
              <w:t>En la fecha establecida en los convenios y al cumplimiento de los requisitos.</w:t>
            </w:r>
          </w:p>
        </w:tc>
        <w:tc>
          <w:tcPr>
            <w:tcW w:w="3933" w:type="dxa"/>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sz w:val="16"/>
                <w:szCs w:val="24"/>
              </w:rPr>
              <w:t>Al momento de percepción del recurso</w:t>
            </w:r>
          </w:p>
        </w:tc>
      </w:tr>
      <w:tr w:rsidR="0011421F" w:rsidRPr="00C354B7">
        <w:tblPrEx>
          <w:tblCellMar>
            <w:top w:w="0" w:type="dxa"/>
            <w:bottom w:w="0" w:type="dxa"/>
          </w:tblCellMar>
        </w:tblPrEx>
        <w:trPr>
          <w:cantSplit/>
          <w:trHeight w:val="20"/>
        </w:trPr>
        <w:tc>
          <w:tcPr>
            <w:tcW w:w="6493" w:type="dxa"/>
            <w:gridSpan w:val="2"/>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sz w:val="16"/>
                <w:szCs w:val="24"/>
              </w:rPr>
              <w:t>Financiamientos</w:t>
            </w:r>
          </w:p>
        </w:tc>
        <w:tc>
          <w:tcPr>
            <w:tcW w:w="6683" w:type="dxa"/>
            <w:gridSpan w:val="2"/>
            <w:tcBorders>
              <w:top w:val="single" w:sz="6" w:space="0" w:color="auto"/>
              <w:left w:val="single" w:sz="6" w:space="0" w:color="auto"/>
              <w:bottom w:val="single" w:sz="6" w:space="0" w:color="auto"/>
              <w:right w:val="single" w:sz="6" w:space="0" w:color="auto"/>
            </w:tcBorders>
            <w:vAlign w:val="center"/>
          </w:tcPr>
          <w:p w:rsidR="0011421F" w:rsidRPr="00C354B7" w:rsidRDefault="0011421F" w:rsidP="008D6886">
            <w:pPr>
              <w:pStyle w:val="Texto"/>
              <w:spacing w:line="320" w:lineRule="exact"/>
              <w:ind w:firstLine="0"/>
              <w:jc w:val="center"/>
              <w:rPr>
                <w:sz w:val="16"/>
                <w:szCs w:val="24"/>
              </w:rPr>
            </w:pPr>
            <w:r w:rsidRPr="00C354B7">
              <w:rPr>
                <w:sz w:val="16"/>
                <w:szCs w:val="24"/>
              </w:rPr>
              <w:t>Al momento que se reciben los recursos.</w:t>
            </w:r>
          </w:p>
        </w:tc>
      </w:tr>
    </w:tbl>
    <w:p w:rsidR="0011421F" w:rsidRPr="00C354B7" w:rsidRDefault="0011421F" w:rsidP="00E22817">
      <w:pPr>
        <w:pStyle w:val="Texto"/>
        <w:rPr>
          <w:szCs w:val="24"/>
        </w:rPr>
      </w:pPr>
    </w:p>
    <w:p w:rsidR="0011421F" w:rsidRPr="00C354B7" w:rsidRDefault="0011421F" w:rsidP="00E22817">
      <w:pPr>
        <w:pStyle w:val="Texto"/>
        <w:rPr>
          <w:szCs w:val="24"/>
        </w:rPr>
        <w:sectPr w:rsidR="0011421F" w:rsidRPr="00C354B7" w:rsidSect="00020E13">
          <w:headerReference w:type="even" r:id="rId10"/>
          <w:headerReference w:type="default" r:id="rId11"/>
          <w:footerReference w:type="default" r:id="rId12"/>
          <w:pgSz w:w="15840" w:h="12240" w:orient="landscape" w:code="1"/>
          <w:pgMar w:top="1699" w:right="1152" w:bottom="1699" w:left="1296" w:header="706" w:footer="706" w:gutter="0"/>
          <w:cols w:space="720"/>
        </w:sectPr>
      </w:pPr>
    </w:p>
    <w:p w:rsidR="0011421F" w:rsidRPr="00C354B7" w:rsidRDefault="0011421F" w:rsidP="008D6886">
      <w:pPr>
        <w:pStyle w:val="Texto"/>
        <w:spacing w:line="258" w:lineRule="exact"/>
        <w:rPr>
          <w:szCs w:val="24"/>
        </w:rPr>
      </w:pPr>
      <w:r w:rsidRPr="00C354B7">
        <w:rPr>
          <w:b/>
          <w:szCs w:val="24"/>
        </w:rPr>
        <w:lastRenderedPageBreak/>
        <w:t xml:space="preserve">SEGUNDO.- </w:t>
      </w:r>
      <w:r w:rsidRPr="00C354B7">
        <w:rPr>
          <w:szCs w:val="24"/>
        </w:rPr>
        <w:t xml:space="preserve">En cumplimiento con los artículos 7 y cuarto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poderes Ejecutivo, Legislativo y Judicial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y entidades federativas; las entidades y los órganos autónomos deberán adoptar e implementar, con carácter obligatorio, el Acuerdo por el que se emiten las Normas y Metodología para </w:t>
      </w:r>
      <w:smartTag w:uri="urn:schemas-microsoft-com:office:smarttags" w:element="PersonName">
        <w:smartTagPr>
          <w:attr w:name="ProductID" w:val="la Determinaci￳n"/>
        </w:smartTagPr>
        <w:r w:rsidRPr="00C354B7">
          <w:rPr>
            <w:szCs w:val="24"/>
          </w:rPr>
          <w:t>la Determinación</w:t>
        </w:r>
      </w:smartTag>
      <w:r w:rsidRPr="00C354B7">
        <w:rPr>
          <w:szCs w:val="24"/>
        </w:rPr>
        <w:t xml:space="preserve"> de los Momentos Contables de los Ingresos a más tardar, el 31 de diciembre de 2010. Lo anterior, a efecto de construir junto con los elementos técnicos y normativos que el CONAC deba emitir para 2009, la matriz de conversión y estar en posibilidad de cumplir con lo señalado en el cuarto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sobre la emisión de información contable y presupuestaria en forma periódica bajo las clasificaciones administrativas, económica, funcional y programática.</w:t>
      </w:r>
    </w:p>
    <w:p w:rsidR="0011421F" w:rsidRPr="00C354B7" w:rsidRDefault="0011421F" w:rsidP="008D6886">
      <w:pPr>
        <w:pStyle w:val="Texto"/>
        <w:spacing w:line="258" w:lineRule="exact"/>
        <w:rPr>
          <w:szCs w:val="24"/>
        </w:rPr>
      </w:pPr>
      <w:r w:rsidRPr="00C354B7">
        <w:rPr>
          <w:b/>
          <w:szCs w:val="24"/>
        </w:rPr>
        <w:t xml:space="preserve">TERCERO.- </w:t>
      </w:r>
      <w:r w:rsidRPr="00C354B7">
        <w:rPr>
          <w:szCs w:val="24"/>
        </w:rPr>
        <w:t xml:space="preserve">En cumplimiento con los artículos 7 y quinto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ayuntamientos de los municipios y los órganos político-administrativos de las demarcaciones territoriales del Distrito Federal deberán adoptar e implementar, con carácter obligatorio, el Acuerdo por el que se emiten las Normas y Metodología para </w:t>
      </w:r>
      <w:smartTag w:uri="urn:schemas-microsoft-com:office:smarttags" w:element="PersonName">
        <w:smartTagPr>
          <w:attr w:name="ProductID" w:val="la Determinaci￳n"/>
        </w:smartTagPr>
        <w:r w:rsidRPr="00C354B7">
          <w:rPr>
            <w:szCs w:val="24"/>
          </w:rPr>
          <w:t>la Determinación</w:t>
        </w:r>
      </w:smartTag>
      <w:r w:rsidRPr="00C354B7">
        <w:rPr>
          <w:szCs w:val="24"/>
        </w:rPr>
        <w:t xml:space="preserve"> de los Momentos Contables de los Ingresos a más tardar, el 31 de diciembre de 2010. Lo anterior, a efecto de construir junto con los elementos técnicos y normativos que el CONAC deba emitir para 2009, la matriz de conversión y estar en posibilidad de cumplir con lo señalado en el quinto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w:t>
      </w:r>
    </w:p>
    <w:p w:rsidR="0011421F" w:rsidRPr="00C354B7" w:rsidRDefault="0011421F" w:rsidP="008D6886">
      <w:pPr>
        <w:pStyle w:val="Texto"/>
        <w:spacing w:line="258" w:lineRule="exact"/>
        <w:rPr>
          <w:szCs w:val="24"/>
        </w:rPr>
      </w:pPr>
      <w:r w:rsidRPr="00C354B7">
        <w:rPr>
          <w:b/>
          <w:szCs w:val="24"/>
        </w:rPr>
        <w:t xml:space="preserve">CUARTO.- </w:t>
      </w:r>
      <w:r w:rsidRPr="00C354B7">
        <w:rPr>
          <w:szCs w:val="24"/>
        </w:rPr>
        <w:t xml:space="preserve">De conformidad con los artículos 1 y 7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11421F" w:rsidRPr="00C354B7" w:rsidRDefault="0011421F" w:rsidP="008D6886">
      <w:pPr>
        <w:pStyle w:val="Texto"/>
        <w:spacing w:line="258" w:lineRule="exact"/>
        <w:rPr>
          <w:szCs w:val="24"/>
        </w:rPr>
      </w:pPr>
      <w:r w:rsidRPr="00C354B7">
        <w:rPr>
          <w:b/>
          <w:szCs w:val="24"/>
        </w:rPr>
        <w:t>QUINTO.-</w:t>
      </w:r>
      <w:r w:rsidRPr="00C354B7">
        <w:rPr>
          <w:szCs w:val="24"/>
        </w:rPr>
        <w:t xml:space="preserve"> De acuerdo con lo previsto en el artículo 1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gobiernos de las Entidades Federativas deberán coordinarse con los gobiernos municipales para que logren contar con un marco contable armonizado, a través del intercambio de información y experiencias entre ambos órdenes de gobierno.</w:t>
      </w:r>
    </w:p>
    <w:p w:rsidR="0011421F" w:rsidRPr="00C354B7" w:rsidRDefault="0011421F" w:rsidP="008D6886">
      <w:pPr>
        <w:pStyle w:val="Texto"/>
        <w:spacing w:line="258" w:lineRule="exact"/>
        <w:rPr>
          <w:szCs w:val="24"/>
        </w:rPr>
      </w:pPr>
      <w:r w:rsidRPr="00C354B7">
        <w:rPr>
          <w:b/>
          <w:szCs w:val="24"/>
        </w:rPr>
        <w:t xml:space="preserve">SEXTO.- </w:t>
      </w:r>
      <w:r w:rsidRPr="00C354B7">
        <w:rPr>
          <w:szCs w:val="24"/>
        </w:rPr>
        <w:t xml:space="preserve">En términos de los artículos 7 y 15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w:t>
      </w:r>
    </w:p>
    <w:p w:rsidR="0011421F" w:rsidRPr="00C354B7" w:rsidRDefault="0011421F" w:rsidP="008D6886">
      <w:pPr>
        <w:pStyle w:val="Texto"/>
        <w:spacing w:line="258" w:lineRule="exact"/>
        <w:rPr>
          <w:szCs w:val="24"/>
        </w:rPr>
      </w:pPr>
      <w:r w:rsidRPr="00C354B7">
        <w:rPr>
          <w:b/>
          <w:szCs w:val="24"/>
        </w:rPr>
        <w:t>SEPTIMO.-</w:t>
      </w:r>
      <w:r w:rsidRPr="00C354B7">
        <w:rPr>
          <w:szCs w:val="24"/>
        </w:rPr>
        <w:t xml:space="preserve"> En términos del artículo 15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w:smartTagPr>
        <w:r w:rsidRPr="00C354B7">
          <w:rPr>
            <w:szCs w:val="24"/>
          </w:rPr>
          <w:t>la Ley</w:t>
        </w:r>
      </w:smartTag>
      <w:r w:rsidRPr="00C354B7">
        <w:rPr>
          <w:szCs w:val="24"/>
        </w:rPr>
        <w:t xml:space="preserve"> de Contabilidad.</w:t>
      </w:r>
    </w:p>
    <w:p w:rsidR="0011421F" w:rsidRPr="00C354B7" w:rsidRDefault="0011421F" w:rsidP="008D6886">
      <w:pPr>
        <w:pStyle w:val="Texto"/>
        <w:spacing w:line="258" w:lineRule="exact"/>
        <w:rPr>
          <w:szCs w:val="24"/>
        </w:rPr>
      </w:pPr>
      <w:r w:rsidRPr="00C354B7">
        <w:rPr>
          <w:b/>
          <w:szCs w:val="24"/>
        </w:rPr>
        <w:t xml:space="preserve">OCTAVO.- </w:t>
      </w:r>
      <w:r w:rsidRPr="00C354B7">
        <w:rPr>
          <w:szCs w:val="24"/>
        </w:rPr>
        <w:t xml:space="preserve">En cumplimiento a lo dispuesto por el artículo 7, segundo párrafo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las Normas y Metodología para </w:t>
      </w:r>
      <w:smartTag w:uri="urn:schemas-microsoft-com:office:smarttags" w:element="PersonName">
        <w:smartTagPr>
          <w:attr w:name="ProductID" w:val="la Determinaci￳n"/>
        </w:smartTagPr>
        <w:r w:rsidRPr="00C354B7">
          <w:rPr>
            <w:szCs w:val="24"/>
          </w:rPr>
          <w:t>la Determinación</w:t>
        </w:r>
      </w:smartTag>
      <w:r w:rsidRPr="00C354B7">
        <w:rPr>
          <w:szCs w:val="24"/>
        </w:rPr>
        <w:t xml:space="preserve"> de los Momentos Contables de los Ingresos serán publicadas en el Diario Oficial de </w:t>
      </w:r>
      <w:smartTag w:uri="urn:schemas-microsoft-com:office:smarttags" w:element="PersonName">
        <w:smartTagPr>
          <w:attr w:name="ProductID" w:val="la Federaci￳n"/>
        </w:smartTagPr>
        <w:r w:rsidRPr="00C354B7">
          <w:rPr>
            <w:szCs w:val="24"/>
          </w:rPr>
          <w:t>la Federación</w:t>
        </w:r>
      </w:smartTag>
      <w:r w:rsidRPr="00C354B7">
        <w:rPr>
          <w:szCs w:val="24"/>
        </w:rPr>
        <w:t>, así como en los medios oficiales de difusión escritos y electrónicos de las entidades federativas, municipios y demarcaciones territoriales del Distrito Federal.</w:t>
      </w:r>
    </w:p>
    <w:p w:rsidR="00AE5B04" w:rsidRPr="00BD1616" w:rsidRDefault="00AE5B04" w:rsidP="008D6886">
      <w:pPr>
        <w:pStyle w:val="Texto"/>
        <w:spacing w:line="258" w:lineRule="exact"/>
        <w:rPr>
          <w:szCs w:val="18"/>
        </w:rPr>
      </w:pPr>
      <w:r w:rsidRPr="00BD1616">
        <w:rPr>
          <w:szCs w:val="18"/>
        </w:rPr>
        <w:t xml:space="preserve">En </w:t>
      </w:r>
      <w:smartTag w:uri="urn:schemas-microsoft-com:office:smarttags" w:element="PersonName">
        <w:smartTagPr>
          <w:attr w:name="ProductID" w:val="la Ciudad"/>
        </w:smartTagPr>
        <w:r w:rsidRPr="00BD1616">
          <w:rPr>
            <w:szCs w:val="18"/>
          </w:rPr>
          <w:t>la Ciudad</w:t>
        </w:r>
      </w:smartTag>
      <w:r w:rsidRPr="00BD1616">
        <w:rPr>
          <w:szCs w:val="18"/>
        </w:rPr>
        <w:t xml:space="preserve"> </w:t>
      </w:r>
      <w:r>
        <w:rPr>
          <w:szCs w:val="18"/>
        </w:rPr>
        <w:t xml:space="preserve">de México, Distrito Federal, siendo las 14:40 horas del día 1 de diciembre del año dos mil nueve, el Titular de </w:t>
      </w:r>
      <w:smartTag w:uri="urn:schemas-microsoft-com:office:smarttags" w:element="PersonName">
        <w:smartTagPr>
          <w:attr w:name="ProductID" w:val="la Unidad"/>
        </w:smartTagPr>
        <w:r>
          <w:rPr>
            <w:szCs w:val="18"/>
          </w:rPr>
          <w:t>la Unidad</w:t>
        </w:r>
      </w:smartTag>
      <w:r>
        <w:rPr>
          <w:szCs w:val="18"/>
        </w:rPr>
        <w:t xml:space="preserve"> de Contabilidad Gubernamental e Informes sobre </w:t>
      </w:r>
      <w:smartTag w:uri="urn:schemas-microsoft-com:office:smarttags" w:element="PersonName">
        <w:smartTagPr>
          <w:attr w:name="ProductID" w:val="la Gesti￳n P￺blica"/>
        </w:smartTagPr>
        <w:r>
          <w:rPr>
            <w:szCs w:val="18"/>
          </w:rPr>
          <w:t>la Gestión Pública</w:t>
        </w:r>
      </w:smartTag>
      <w:r>
        <w:rPr>
          <w:szCs w:val="18"/>
        </w:rPr>
        <w:t xml:space="preserve"> de </w:t>
      </w:r>
      <w:smartTag w:uri="urn:schemas-microsoft-com:office:smarttags" w:element="PersonName">
        <w:smartTagPr>
          <w:attr w:name="ProductID" w:val="la Secretar￭a"/>
        </w:smartTagPr>
        <w:r>
          <w:rPr>
            <w:szCs w:val="18"/>
          </w:rPr>
          <w:t>la Secretaría</w:t>
        </w:r>
      </w:smartTag>
      <w:r>
        <w:rPr>
          <w:szCs w:val="18"/>
        </w:rPr>
        <w:t xml:space="preserve"> de Hacienda y Crédito Público, en mi calidad de Secretario Técnico del Consejo Nacional de Armonización Contable, </w:t>
      </w:r>
      <w:r w:rsidRPr="000353AC">
        <w:rPr>
          <w:b/>
          <w:szCs w:val="18"/>
        </w:rPr>
        <w:t>HACE CONSTAR</w:t>
      </w:r>
      <w:r>
        <w:rPr>
          <w:szCs w:val="18"/>
        </w:rPr>
        <w:t xml:space="preserve"> que el documento consistente de 11 fojas útiles denominado </w:t>
      </w:r>
      <w:r w:rsidR="003701B3">
        <w:rPr>
          <w:szCs w:val="18"/>
        </w:rPr>
        <w:t xml:space="preserve"> </w:t>
      </w:r>
      <w:r>
        <w:rPr>
          <w:b/>
          <w:szCs w:val="18"/>
        </w:rPr>
        <w:t xml:space="preserve">Normas y Metodología para Determinación de los Momentos Contables de los </w:t>
      </w:r>
      <w:r w:rsidR="00B86C3D">
        <w:rPr>
          <w:b/>
          <w:szCs w:val="18"/>
        </w:rPr>
        <w:t>Ingresos</w:t>
      </w:r>
      <w:r>
        <w:rPr>
          <w:szCs w:val="18"/>
        </w:rPr>
        <w:t xml:space="preserve">, corresponde con los textos aprobados por el Consejo Nacional de Armonización Contable, mismos que estuvieron a la vista de los integrantes de dicho consejo en su tercera reunión celebrada el pasado 1 de diciembre del presente año. Lo anterior para los efectos legales conducentes, con fundamento en el artículo 11 de </w:t>
      </w:r>
      <w:smartTag w:uri="urn:schemas-microsoft-com:office:smarttags" w:element="PersonName">
        <w:smartTagPr>
          <w:attr w:name="ProductID" w:val="la Ley General"/>
        </w:smartTagPr>
        <w:r>
          <w:rPr>
            <w:szCs w:val="18"/>
          </w:rPr>
          <w:t>la Ley General</w:t>
        </w:r>
      </w:smartTag>
      <w:r>
        <w:rPr>
          <w:szCs w:val="18"/>
        </w:rPr>
        <w:t xml:space="preserve"> de Contabilidad Gubernamental y regla 20 de </w:t>
      </w:r>
      <w:smartTag w:uri="urn:schemas-microsoft-com:office:smarttags" w:element="PersonName">
        <w:smartTagPr>
          <w:attr w:name="ProductID" w:val="la Reglas"/>
        </w:smartTagPr>
        <w:r>
          <w:rPr>
            <w:szCs w:val="18"/>
          </w:rPr>
          <w:t>la Reglas</w:t>
        </w:r>
      </w:smartTag>
      <w:r>
        <w:rPr>
          <w:szCs w:val="18"/>
        </w:rPr>
        <w:t xml:space="preserve"> de Operación del Consejo Nacional de Armonización Contable.- Secretario Técnico del Consejo Nacional de Armonización Contable, </w:t>
      </w:r>
      <w:r>
        <w:rPr>
          <w:b/>
          <w:szCs w:val="18"/>
        </w:rPr>
        <w:t>Moisés Alcalde Virgen</w:t>
      </w:r>
      <w:r>
        <w:rPr>
          <w:szCs w:val="18"/>
        </w:rPr>
        <w:t>.- Rúbrica.</w:t>
      </w:r>
    </w:p>
    <w:p w:rsidR="00AA41B8" w:rsidRDefault="00AA41B8" w:rsidP="008906C0">
      <w:pPr>
        <w:pStyle w:val="Texto"/>
        <w:spacing w:line="232" w:lineRule="exact"/>
        <w:ind w:left="900" w:hanging="612"/>
        <w:rPr>
          <w:b/>
          <w:szCs w:val="16"/>
        </w:rPr>
        <w:sectPr w:rsidR="00AA41B8" w:rsidSect="00E22817">
          <w:headerReference w:type="even" r:id="rId13"/>
          <w:headerReference w:type="default" r:id="rId14"/>
          <w:footerReference w:type="default" r:id="rId15"/>
          <w:pgSz w:w="12240" w:h="15840" w:code="1"/>
          <w:pgMar w:top="1152" w:right="1699" w:bottom="1296" w:left="1699" w:header="706" w:footer="706" w:gutter="0"/>
          <w:cols w:space="708"/>
        </w:sectPr>
      </w:pPr>
    </w:p>
    <w:p w:rsidR="003701B3" w:rsidRDefault="003701B3" w:rsidP="00A10047">
      <w:pPr>
        <w:pStyle w:val="Texto"/>
        <w:rPr>
          <w:sz w:val="16"/>
          <w:szCs w:val="16"/>
        </w:rPr>
      </w:pPr>
    </w:p>
    <w:sectPr w:rsidR="003701B3" w:rsidSect="00A10047">
      <w:headerReference w:type="even" r:id="rId16"/>
      <w:headerReference w:type="default" r:id="rId17"/>
      <w:footerReference w:type="default" r:id="rId18"/>
      <w:pgSz w:w="12240" w:h="15840" w:code="1"/>
      <w:pgMar w:top="1152" w:right="1699" w:bottom="1296" w:left="1699"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508" w:rsidRDefault="00276508">
      <w:r>
        <w:separator/>
      </w:r>
    </w:p>
  </w:endnote>
  <w:endnote w:type="continuationSeparator" w:id="0">
    <w:p w:rsidR="00276508" w:rsidRDefault="002765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EurekaSans-Regular">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Default="002A7508">
    <w:pPr>
      <w:pStyle w:val="Piedepgina"/>
      <w:tabs>
        <w:tab w:val="clear" w:pos="8838"/>
        <w:tab w:val="right" w:pos="9540"/>
      </w:tabs>
      <w:jc w:val="right"/>
      <w:rPr>
        <w:rFonts w:ascii="EurekaSans-Regular" w:hAnsi="EurekaSans-Regular"/>
        <w:sz w:val="16"/>
        <w:szCs w:val="16"/>
      </w:rPr>
    </w:pPr>
  </w:p>
  <w:p w:rsidR="002A7508" w:rsidRDefault="002A7508">
    <w:pPr>
      <w:pStyle w:val="Piedepgina"/>
      <w:tabs>
        <w:tab w:val="clear" w:pos="8838"/>
        <w:tab w:val="right" w:pos="9540"/>
      </w:tabs>
      <w:jc w:val="right"/>
      <w:rPr>
        <w:rFonts w:ascii="EurekaSans-Regular" w:hAnsi="EurekaSans-Regular"/>
        <w:sz w:val="16"/>
        <w:szCs w:val="16"/>
      </w:rPr>
    </w:pPr>
    <w:r>
      <w:rPr>
        <w:rFonts w:ascii="EurekaSans-Regular" w:hAnsi="EurekaSans-Regular"/>
        <w:sz w:val="16"/>
        <w:szCs w:val="16"/>
      </w:rPr>
      <w:t>Av. Constituyentes 1001, Edificio B, Piso 5, Col. Belén de las Flores</w:t>
    </w:r>
  </w:p>
  <w:p w:rsidR="002A7508" w:rsidRDefault="002A7508">
    <w:pPr>
      <w:pStyle w:val="Piedepgina"/>
      <w:tabs>
        <w:tab w:val="clear" w:pos="8838"/>
        <w:tab w:val="right" w:pos="9540"/>
      </w:tabs>
      <w:jc w:val="right"/>
      <w:rPr>
        <w:rFonts w:ascii="EurekaSans-Regular" w:hAnsi="EurekaSans-Regular"/>
        <w:sz w:val="16"/>
        <w:szCs w:val="16"/>
      </w:rPr>
    </w:pPr>
    <w:r>
      <w:rPr>
        <w:rFonts w:ascii="EurekaSans-Regular" w:hAnsi="EurekaSans-Regular"/>
        <w:sz w:val="16"/>
        <w:szCs w:val="16"/>
      </w:rPr>
      <w:t>Deleg. Álvaro Obregón, México, D.F., CP. 01110</w:t>
    </w:r>
  </w:p>
  <w:p w:rsidR="002A7508" w:rsidRDefault="002A7508">
    <w:pPr>
      <w:pStyle w:val="Piedepgina"/>
      <w:tabs>
        <w:tab w:val="clear" w:pos="8838"/>
        <w:tab w:val="right" w:pos="9540"/>
      </w:tabs>
      <w:jc w:val="right"/>
      <w:rPr>
        <w:rFonts w:ascii="EurekaSans-Regular" w:hAnsi="EurekaSans-Regular"/>
        <w:sz w:val="16"/>
        <w:szCs w:val="16"/>
      </w:rPr>
    </w:pPr>
    <w:r>
      <w:rPr>
        <w:rFonts w:ascii="EurekaSans-Regular" w:hAnsi="EurekaSans-Regular"/>
        <w:sz w:val="16"/>
        <w:szCs w:val="16"/>
      </w:rPr>
      <w:t>Tel. +52 (55) 3688 4890, Fax (55) 3688 4805</w:t>
    </w:r>
  </w:p>
  <w:p w:rsidR="002A7508" w:rsidRDefault="002A7508">
    <w:pPr>
      <w:pStyle w:val="Piedepgina"/>
      <w:tabs>
        <w:tab w:val="clear" w:pos="8838"/>
        <w:tab w:val="right" w:pos="9540"/>
      </w:tabs>
      <w:jc w:val="right"/>
      <w:rPr>
        <w:rFonts w:ascii="EurekaSans-Regular" w:hAnsi="EurekaSans-Regular"/>
      </w:rPr>
    </w:pPr>
    <w:hyperlink r:id="rId1" w:history="1">
      <w:r>
        <w:rPr>
          <w:rFonts w:ascii="EurekaSans-Regular" w:hAnsi="EurekaSans-Regular"/>
          <w:color w:val="0000FF"/>
          <w:u w:val="single"/>
        </w:rPr>
        <w:t>www.conac.gob.mx</w:t>
      </w:r>
    </w:hyperlink>
  </w:p>
  <w:p w:rsidR="002A7508" w:rsidRDefault="002A7508">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Default="002A7508">
    <w:pPr>
      <w:pStyle w:val="Piedepgina"/>
      <w:tabs>
        <w:tab w:val="clear" w:pos="8838"/>
        <w:tab w:val="right" w:pos="9540"/>
      </w:tabs>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D0578C" w:rsidRDefault="002A7508" w:rsidP="00E22817">
    <w:pPr>
      <w:pStyle w:val="Piedepgin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Default="002A750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508" w:rsidRDefault="00276508">
      <w:r>
        <w:separator/>
      </w:r>
    </w:p>
  </w:footnote>
  <w:footnote w:type="continuationSeparator" w:id="0">
    <w:p w:rsidR="00276508" w:rsidRDefault="002765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3701B3" w:rsidRDefault="003701B3" w:rsidP="00FE1BBD">
    <w:pPr>
      <w:pStyle w:val="Fechas"/>
      <w:rPr>
        <w:rFonts w:cs="Times New Roman"/>
      </w:rPr>
    </w:pPr>
    <w:r>
      <w:rPr>
        <w:rFonts w:cs="Times New Roman"/>
      </w:rPr>
      <w:t xml:space="preserve"> </w:t>
    </w:r>
    <w:r w:rsidR="002A7508" w:rsidRPr="003701B3">
      <w:rPr>
        <w:rFonts w:cs="Times New Roman"/>
      </w:rPr>
      <w:t xml:space="preserve">     (Tercera Sección)</w:t>
    </w:r>
    <w:r w:rsidR="002A7508" w:rsidRPr="003701B3">
      <w:rPr>
        <w:rFonts w:cs="Times New Roman"/>
      </w:rPr>
      <w:tab/>
      <w:t>DIARIO OFICIAL</w:t>
    </w:r>
    <w:r w:rsidR="002A7508" w:rsidRPr="003701B3">
      <w:rPr>
        <w:rFonts w:cs="Times New Roman"/>
      </w:rPr>
      <w:tab/>
    </w:r>
    <w:proofErr w:type="gramStart"/>
    <w:r w:rsidR="002A7508" w:rsidRPr="003701B3">
      <w:rPr>
        <w:rFonts w:cs="Times New Roman"/>
      </w:rPr>
      <w:t>Miércoles</w:t>
    </w:r>
    <w:proofErr w:type="gramEnd"/>
    <w:r w:rsidR="002A7508" w:rsidRPr="003701B3">
      <w:rPr>
        <w:rFonts w:cs="Times New Roman"/>
      </w:rPr>
      <w:t xml:space="preserve"> 9 de diciembre de 2009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3701B3" w:rsidRDefault="002A7508" w:rsidP="0011421F">
    <w:pPr>
      <w:pStyle w:val="Fechas"/>
      <w:rPr>
        <w:rFonts w:cs="Times New Roman"/>
      </w:rPr>
    </w:pPr>
    <w:r w:rsidRPr="003701B3">
      <w:rPr>
        <w:rFonts w:cs="Times New Roman"/>
      </w:rPr>
      <w:t>Miércoles 9 de diciembre de 2009</w:t>
    </w:r>
    <w:r w:rsidRPr="003701B3">
      <w:rPr>
        <w:rFonts w:cs="Times New Roman"/>
      </w:rPr>
      <w:tab/>
      <w:t>DIARIO OFICIAL</w:t>
    </w:r>
    <w:r w:rsidRPr="003701B3">
      <w:rPr>
        <w:rFonts w:cs="Times New Roman"/>
      </w:rPr>
      <w:tab/>
      <w:t xml:space="preserve">(Tercera Sección)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6D1DCA" w:rsidRDefault="002A7508">
    <w:pPr>
      <w:pStyle w:val="Encabezado"/>
      <w:framePr w:w="432" w:h="8597" w:hRule="exact" w:hSpace="187" w:wrap="around" w:hAnchor="page" w:x="14789" w:yAlign="center"/>
      <w:pBdr>
        <w:bottom w:val="double" w:sz="4" w:space="1" w:color="auto"/>
      </w:pBdr>
      <w:shd w:val="solid" w:color="FFFFFF" w:fill="FFFFFF"/>
      <w:tabs>
        <w:tab w:val="center" w:pos="4464"/>
        <w:tab w:val="right" w:pos="8582"/>
      </w:tabs>
      <w:spacing w:before="120" w:after="5"/>
      <w:jc w:val="both"/>
      <w:textDirection w:val="tbRl"/>
      <w:rPr>
        <w:sz w:val="18"/>
        <w:szCs w:val="18"/>
      </w:rPr>
    </w:pPr>
    <w:r w:rsidRPr="006D1DCA">
      <w:rPr>
        <w:sz w:val="18"/>
        <w:szCs w:val="18"/>
      </w:rPr>
      <w:fldChar w:fldCharType="begin"/>
    </w:r>
    <w:r w:rsidRPr="006D1DCA">
      <w:rPr>
        <w:sz w:val="18"/>
        <w:szCs w:val="18"/>
      </w:rPr>
      <w:instrText xml:space="preserve"> PAGE  \* MERGEFORMAT </w:instrText>
    </w:r>
    <w:r w:rsidRPr="006D1DCA">
      <w:rPr>
        <w:sz w:val="18"/>
        <w:szCs w:val="18"/>
      </w:rPr>
      <w:fldChar w:fldCharType="separate"/>
    </w:r>
    <w:r w:rsidR="00A4730C">
      <w:rPr>
        <w:noProof/>
        <w:sz w:val="18"/>
        <w:szCs w:val="18"/>
      </w:rPr>
      <w:t>6</w:t>
    </w:r>
    <w:r w:rsidRPr="006D1DCA">
      <w:rPr>
        <w:sz w:val="18"/>
        <w:szCs w:val="18"/>
      </w:rPr>
      <w:fldChar w:fldCharType="end"/>
    </w:r>
    <w:r w:rsidRPr="006D1DCA">
      <w:rPr>
        <w:sz w:val="18"/>
        <w:szCs w:val="18"/>
      </w:rPr>
      <w:t xml:space="preserve">     (Tercera Sección)</w:t>
    </w:r>
    <w:r w:rsidRPr="006D1DCA">
      <w:rPr>
        <w:sz w:val="18"/>
        <w:szCs w:val="18"/>
      </w:rPr>
      <w:fldChar w:fldCharType="begin"/>
    </w:r>
    <w:r w:rsidRPr="006D1DCA">
      <w:rPr>
        <w:sz w:val="18"/>
        <w:szCs w:val="18"/>
      </w:rPr>
      <w:instrText xml:space="preserve"> DocVariable dvSeccion </w:instrText>
    </w:r>
    <w:r w:rsidRPr="006D1DCA">
      <w:rPr>
        <w:sz w:val="18"/>
        <w:szCs w:val="18"/>
      </w:rPr>
      <w:fldChar w:fldCharType="end"/>
    </w:r>
    <w:r w:rsidRPr="006D1DCA">
      <w:rPr>
        <w:sz w:val="18"/>
        <w:szCs w:val="18"/>
      </w:rPr>
      <w:tab/>
      <w:t>DIARIO OFICIAL</w:t>
    </w:r>
    <w:r w:rsidRPr="006D1DCA">
      <w:rPr>
        <w:sz w:val="18"/>
        <w:szCs w:val="18"/>
      </w:rPr>
      <w:tab/>
      <w:t>Miércoles 9 de diciembre de 2009</w:t>
    </w:r>
    <w:r w:rsidRPr="006D1DCA">
      <w:rPr>
        <w:sz w:val="18"/>
        <w:szCs w:val="18"/>
      </w:rPr>
      <w:fldChar w:fldCharType="begin"/>
    </w:r>
    <w:r w:rsidRPr="006D1DCA">
      <w:rPr>
        <w:sz w:val="18"/>
        <w:szCs w:val="18"/>
      </w:rPr>
      <w:instrText xml:space="preserve"> DocVariable dvFecha </w:instrText>
    </w:r>
    <w:r w:rsidRPr="006D1DCA">
      <w:rPr>
        <w:sz w:val="18"/>
        <w:szCs w:val="18"/>
      </w:rPr>
      <w:fldChar w:fldCharType="end"/>
    </w:r>
  </w:p>
  <w:p w:rsidR="002A7508" w:rsidRPr="006D1DCA" w:rsidRDefault="002A7508" w:rsidP="006D1DCA">
    <w:pPr>
      <w:pStyle w:val="Text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6D1DCA" w:rsidRDefault="002A7508">
    <w:pPr>
      <w:pStyle w:val="Encabezado"/>
      <w:framePr w:w="432" w:h="8597" w:hRule="exact" w:hSpace="187" w:wrap="around" w:hAnchor="page" w:x="14789" w:yAlign="center"/>
      <w:pBdr>
        <w:bottom w:val="double" w:sz="4" w:space="1" w:color="auto"/>
      </w:pBdr>
      <w:shd w:val="solid" w:color="FFFFFF" w:fill="FFFFFF"/>
      <w:tabs>
        <w:tab w:val="center" w:pos="4464"/>
        <w:tab w:val="right" w:pos="8582"/>
      </w:tabs>
      <w:spacing w:before="120" w:after="5"/>
      <w:jc w:val="both"/>
      <w:textDirection w:val="tbRl"/>
      <w:rPr>
        <w:sz w:val="18"/>
        <w:szCs w:val="18"/>
      </w:rPr>
    </w:pPr>
    <w:r w:rsidRPr="006D1DCA">
      <w:rPr>
        <w:sz w:val="18"/>
        <w:szCs w:val="18"/>
      </w:rPr>
      <w:t>Miércoles 9 de diciembre de 2009</w:t>
    </w:r>
    <w:r w:rsidRPr="006D1DCA">
      <w:rPr>
        <w:sz w:val="18"/>
        <w:szCs w:val="18"/>
      </w:rPr>
      <w:fldChar w:fldCharType="begin"/>
    </w:r>
    <w:r w:rsidRPr="006D1DCA">
      <w:rPr>
        <w:sz w:val="18"/>
        <w:szCs w:val="18"/>
      </w:rPr>
      <w:instrText xml:space="preserve"> DocVariable dvSeccion </w:instrText>
    </w:r>
    <w:r w:rsidRPr="006D1DCA">
      <w:rPr>
        <w:sz w:val="18"/>
        <w:szCs w:val="18"/>
      </w:rPr>
      <w:fldChar w:fldCharType="end"/>
    </w:r>
    <w:r w:rsidRPr="006D1DCA">
      <w:rPr>
        <w:sz w:val="18"/>
        <w:szCs w:val="18"/>
      </w:rPr>
      <w:tab/>
      <w:t>DIARIO OFICIAL</w:t>
    </w:r>
    <w:r w:rsidRPr="006D1DCA">
      <w:rPr>
        <w:sz w:val="18"/>
        <w:szCs w:val="18"/>
      </w:rPr>
      <w:tab/>
      <w:t xml:space="preserve">(Tercera Sección)     </w:t>
    </w:r>
    <w:r w:rsidRPr="006D1DCA">
      <w:rPr>
        <w:sz w:val="18"/>
        <w:szCs w:val="18"/>
      </w:rPr>
      <w:fldChar w:fldCharType="begin"/>
    </w:r>
    <w:r w:rsidRPr="006D1DCA">
      <w:rPr>
        <w:sz w:val="18"/>
        <w:szCs w:val="18"/>
      </w:rPr>
      <w:instrText xml:space="preserve"> PAGE  \* MERGEFORMAT </w:instrText>
    </w:r>
    <w:r w:rsidRPr="006D1DCA">
      <w:rPr>
        <w:sz w:val="18"/>
        <w:szCs w:val="18"/>
      </w:rPr>
      <w:fldChar w:fldCharType="separate"/>
    </w:r>
    <w:r w:rsidR="00A4730C">
      <w:rPr>
        <w:noProof/>
        <w:sz w:val="18"/>
        <w:szCs w:val="18"/>
      </w:rPr>
      <w:t>5</w:t>
    </w:r>
    <w:r w:rsidRPr="006D1DCA">
      <w:rPr>
        <w:sz w:val="18"/>
        <w:szCs w:val="18"/>
      </w:rPr>
      <w:fldChar w:fldCharType="end"/>
    </w:r>
    <w:r w:rsidRPr="006D1DCA">
      <w:rPr>
        <w:sz w:val="18"/>
        <w:szCs w:val="18"/>
      </w:rPr>
      <w:fldChar w:fldCharType="begin"/>
    </w:r>
    <w:r w:rsidRPr="006D1DCA">
      <w:rPr>
        <w:sz w:val="18"/>
        <w:szCs w:val="18"/>
      </w:rPr>
      <w:instrText xml:space="preserve"> DocVariable dvFecha </w:instrText>
    </w:r>
    <w:r w:rsidRPr="006D1DCA">
      <w:rPr>
        <w:sz w:val="18"/>
        <w:szCs w:val="18"/>
      </w:rPr>
      <w:fldChar w:fldCharType="end"/>
    </w:r>
  </w:p>
  <w:p w:rsidR="002A7508" w:rsidRPr="006D1DCA" w:rsidRDefault="002A7508" w:rsidP="006D1DCA">
    <w:pPr>
      <w:pStyle w:val="Text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11421F" w:rsidRDefault="002A7508" w:rsidP="0011421F">
    <w:pPr>
      <w:pStyle w:val="Fechas"/>
      <w:rPr>
        <w:rFonts w:cs="Times New Roman"/>
      </w:rPr>
    </w:pPr>
    <w:r w:rsidRPr="0011421F">
      <w:rPr>
        <w:rFonts w:cs="Times New Roman"/>
      </w:rPr>
      <w:fldChar w:fldCharType="begin"/>
    </w:r>
    <w:r w:rsidRPr="0011421F">
      <w:rPr>
        <w:rFonts w:cs="Times New Roman"/>
      </w:rPr>
      <w:instrText xml:space="preserve"> PAGE  \* MERGEFORMAT </w:instrText>
    </w:r>
    <w:r w:rsidRPr="0011421F">
      <w:rPr>
        <w:rFonts w:cs="Times New Roman"/>
      </w:rPr>
      <w:fldChar w:fldCharType="separate"/>
    </w:r>
    <w:r w:rsidR="00A10047">
      <w:rPr>
        <w:rFonts w:cs="Times New Roman"/>
        <w:noProof/>
      </w:rPr>
      <w:t>8</w:t>
    </w:r>
    <w:r w:rsidRPr="0011421F">
      <w:rPr>
        <w:rFonts w:cs="Times New Roman"/>
      </w:rPr>
      <w:fldChar w:fldCharType="end"/>
    </w:r>
    <w:r>
      <w:rPr>
        <w:rFonts w:cs="Times New Roman"/>
      </w:rPr>
      <w:t xml:space="preserve">     (Tercera Sección)</w:t>
    </w:r>
    <w:r w:rsidRPr="0011421F">
      <w:rPr>
        <w:rFonts w:cs="Times New Roman"/>
      </w:rPr>
      <w:tab/>
      <w:t>DIARIO OFICIAL</w:t>
    </w:r>
    <w:r w:rsidRPr="0011421F">
      <w:rPr>
        <w:rFonts w:cs="Times New Roman"/>
      </w:rPr>
      <w:tab/>
    </w:r>
    <w:r>
      <w:rPr>
        <w:rFonts w:cs="Times New Roman"/>
      </w:rPr>
      <w:t>Miércoles 9 de diciembre de 2009</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11421F" w:rsidRDefault="002A7508" w:rsidP="00B66A71">
    <w:pPr>
      <w:pStyle w:val="Fechas"/>
      <w:rPr>
        <w:rFonts w:cs="Times New Roman"/>
      </w:rPr>
    </w:pPr>
    <w:r>
      <w:rPr>
        <w:rFonts w:cs="Times New Roman"/>
      </w:rPr>
      <w:t>Miércoles 9 de diciembre de 2009</w:t>
    </w:r>
    <w:r w:rsidRPr="0011421F">
      <w:rPr>
        <w:rFonts w:cs="Times New Roman"/>
      </w:rPr>
      <w:tab/>
      <w:t>DIARIO OFICIAL</w:t>
    </w:r>
    <w:r w:rsidRPr="0011421F">
      <w:rPr>
        <w:rFonts w:cs="Times New Roman"/>
      </w:rPr>
      <w:tab/>
    </w:r>
    <w:r>
      <w:rPr>
        <w:rFonts w:cs="Times New Roman"/>
      </w:rPr>
      <w:t xml:space="preserve">(Tercera Sección)     </w:t>
    </w:r>
    <w:r w:rsidRPr="0011421F">
      <w:rPr>
        <w:rFonts w:cs="Times New Roman"/>
      </w:rPr>
      <w:fldChar w:fldCharType="begin"/>
    </w:r>
    <w:r w:rsidRPr="0011421F">
      <w:rPr>
        <w:rFonts w:cs="Times New Roman"/>
      </w:rPr>
      <w:instrText xml:space="preserve"> PAGE  \* MERGEFORMAT </w:instrText>
    </w:r>
    <w:r w:rsidRPr="0011421F">
      <w:rPr>
        <w:rFonts w:cs="Times New Roman"/>
      </w:rPr>
      <w:fldChar w:fldCharType="separate"/>
    </w:r>
    <w:r w:rsidR="00A4730C">
      <w:rPr>
        <w:rFonts w:cs="Times New Roman"/>
        <w:noProof/>
      </w:rPr>
      <w:t>7</w:t>
    </w:r>
    <w:r w:rsidRPr="0011421F">
      <w:rPr>
        <w:rFonts w:cs="Times New Roman"/>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FE1BBD" w:rsidRDefault="002A7508">
    <w:pPr>
      <w:pStyle w:val="Encabezado"/>
      <w:framePr w:w="432" w:h="8597" w:hRule="exact" w:hSpace="187" w:wrap="around" w:hAnchor="page" w:x="14789" w:yAlign="center"/>
      <w:pBdr>
        <w:bottom w:val="double" w:sz="4" w:space="1" w:color="auto"/>
      </w:pBdr>
      <w:shd w:val="solid" w:color="FFFFFF" w:fill="FFFFFF"/>
      <w:tabs>
        <w:tab w:val="center" w:pos="4464"/>
        <w:tab w:val="right" w:pos="8582"/>
      </w:tabs>
      <w:spacing w:before="120" w:after="5"/>
      <w:jc w:val="both"/>
      <w:textDirection w:val="tbRl"/>
      <w:rPr>
        <w:sz w:val="18"/>
        <w:szCs w:val="18"/>
      </w:rPr>
    </w:pPr>
    <w:r w:rsidRPr="00FE1BBD">
      <w:rPr>
        <w:sz w:val="18"/>
        <w:szCs w:val="18"/>
      </w:rPr>
      <w:fldChar w:fldCharType="begin"/>
    </w:r>
    <w:r w:rsidRPr="00FE1BBD">
      <w:rPr>
        <w:sz w:val="18"/>
        <w:szCs w:val="18"/>
      </w:rPr>
      <w:instrText xml:space="preserve"> PAGE  \* MERGEFORMAT </w:instrText>
    </w:r>
    <w:r w:rsidRPr="00FE1BBD">
      <w:rPr>
        <w:sz w:val="18"/>
        <w:szCs w:val="18"/>
      </w:rPr>
      <w:fldChar w:fldCharType="separate"/>
    </w:r>
    <w:r w:rsidR="00A4730C">
      <w:rPr>
        <w:noProof/>
        <w:sz w:val="18"/>
        <w:szCs w:val="18"/>
      </w:rPr>
      <w:t>8</w:t>
    </w:r>
    <w:r w:rsidRPr="00FE1BBD">
      <w:rPr>
        <w:sz w:val="18"/>
        <w:szCs w:val="18"/>
      </w:rPr>
      <w:fldChar w:fldCharType="end"/>
    </w:r>
    <w:r w:rsidRPr="00FE1BBD">
      <w:rPr>
        <w:sz w:val="18"/>
        <w:szCs w:val="18"/>
      </w:rPr>
      <w:t xml:space="preserve">     (Tercera Sección)</w:t>
    </w:r>
    <w:r w:rsidRPr="00FE1BBD">
      <w:rPr>
        <w:sz w:val="18"/>
        <w:szCs w:val="18"/>
      </w:rPr>
      <w:fldChar w:fldCharType="begin"/>
    </w:r>
    <w:r w:rsidRPr="00FE1BBD">
      <w:rPr>
        <w:sz w:val="18"/>
        <w:szCs w:val="18"/>
      </w:rPr>
      <w:instrText xml:space="preserve"> DocVariable dvSeccion </w:instrText>
    </w:r>
    <w:r w:rsidRPr="00FE1BBD">
      <w:rPr>
        <w:sz w:val="18"/>
        <w:szCs w:val="18"/>
      </w:rPr>
      <w:fldChar w:fldCharType="end"/>
    </w:r>
    <w:r w:rsidRPr="00FE1BBD">
      <w:rPr>
        <w:sz w:val="18"/>
        <w:szCs w:val="18"/>
      </w:rPr>
      <w:tab/>
      <w:t>DIARIO OFICIAL</w:t>
    </w:r>
    <w:r w:rsidRPr="00FE1BBD">
      <w:rPr>
        <w:sz w:val="18"/>
        <w:szCs w:val="18"/>
      </w:rPr>
      <w:tab/>
      <w:t>Miércoles 9 de diciembre de 2009</w:t>
    </w:r>
    <w:r w:rsidRPr="00FE1BBD">
      <w:rPr>
        <w:sz w:val="18"/>
        <w:szCs w:val="18"/>
      </w:rPr>
      <w:fldChar w:fldCharType="begin"/>
    </w:r>
    <w:r w:rsidRPr="00FE1BBD">
      <w:rPr>
        <w:sz w:val="18"/>
        <w:szCs w:val="18"/>
      </w:rPr>
      <w:instrText xml:space="preserve"> DocVariable dvFecha </w:instrText>
    </w:r>
    <w:r w:rsidRPr="00FE1BBD">
      <w:rPr>
        <w:sz w:val="18"/>
        <w:szCs w:val="18"/>
      </w:rPr>
      <w:fldChar w:fldCharType="end"/>
    </w:r>
  </w:p>
  <w:p w:rsidR="002A7508" w:rsidRPr="00FE1BBD" w:rsidRDefault="002A7508" w:rsidP="00FE1BBD">
    <w:pPr>
      <w:pStyle w:val="Texto"/>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FE1BBD" w:rsidRDefault="002A7508">
    <w:pPr>
      <w:pStyle w:val="Encabezado"/>
      <w:framePr w:w="432" w:h="8597" w:hRule="exact" w:hSpace="187" w:wrap="around" w:hAnchor="page" w:x="14789" w:yAlign="center"/>
      <w:pBdr>
        <w:bottom w:val="double" w:sz="4" w:space="1" w:color="auto"/>
      </w:pBdr>
      <w:shd w:val="solid" w:color="FFFFFF" w:fill="FFFFFF"/>
      <w:tabs>
        <w:tab w:val="center" w:pos="4464"/>
        <w:tab w:val="right" w:pos="8582"/>
      </w:tabs>
      <w:spacing w:before="120" w:after="5"/>
      <w:jc w:val="both"/>
      <w:textDirection w:val="tbRl"/>
      <w:rPr>
        <w:sz w:val="18"/>
        <w:szCs w:val="18"/>
      </w:rPr>
    </w:pPr>
    <w:r w:rsidRPr="00FE1BBD">
      <w:rPr>
        <w:sz w:val="18"/>
        <w:szCs w:val="18"/>
      </w:rPr>
      <w:t>Miércoles 9 de diciembre de 2009</w:t>
    </w:r>
    <w:r w:rsidRPr="00FE1BBD">
      <w:rPr>
        <w:sz w:val="18"/>
        <w:szCs w:val="18"/>
      </w:rPr>
      <w:fldChar w:fldCharType="begin"/>
    </w:r>
    <w:r w:rsidRPr="00FE1BBD">
      <w:rPr>
        <w:sz w:val="18"/>
        <w:szCs w:val="18"/>
      </w:rPr>
      <w:instrText xml:space="preserve"> DocVariable dvSeccion </w:instrText>
    </w:r>
    <w:r w:rsidRPr="00FE1BBD">
      <w:rPr>
        <w:sz w:val="18"/>
        <w:szCs w:val="18"/>
      </w:rPr>
      <w:fldChar w:fldCharType="end"/>
    </w:r>
    <w:r w:rsidRPr="00FE1BBD">
      <w:rPr>
        <w:sz w:val="18"/>
        <w:szCs w:val="18"/>
      </w:rPr>
      <w:tab/>
      <w:t>DIARIO OFICIAL</w:t>
    </w:r>
    <w:r w:rsidRPr="00FE1BBD">
      <w:rPr>
        <w:sz w:val="18"/>
        <w:szCs w:val="18"/>
      </w:rPr>
      <w:tab/>
      <w:t xml:space="preserve">(Tercera Sección)     </w:t>
    </w:r>
    <w:r w:rsidRPr="00FE1BBD">
      <w:rPr>
        <w:sz w:val="18"/>
        <w:szCs w:val="18"/>
      </w:rPr>
      <w:fldChar w:fldCharType="begin"/>
    </w:r>
    <w:r w:rsidRPr="00FE1BBD">
      <w:rPr>
        <w:sz w:val="18"/>
        <w:szCs w:val="18"/>
      </w:rPr>
      <w:instrText xml:space="preserve"> PAGE  \* MERGEFORMAT </w:instrText>
    </w:r>
    <w:r w:rsidRPr="00FE1BBD">
      <w:rPr>
        <w:sz w:val="18"/>
        <w:szCs w:val="18"/>
      </w:rPr>
      <w:fldChar w:fldCharType="separate"/>
    </w:r>
    <w:r w:rsidR="00A10047">
      <w:rPr>
        <w:noProof/>
        <w:sz w:val="18"/>
        <w:szCs w:val="18"/>
      </w:rPr>
      <w:t>9</w:t>
    </w:r>
    <w:r w:rsidRPr="00FE1BBD">
      <w:rPr>
        <w:sz w:val="18"/>
        <w:szCs w:val="18"/>
      </w:rPr>
      <w:fldChar w:fldCharType="end"/>
    </w:r>
    <w:r w:rsidRPr="00FE1BBD">
      <w:rPr>
        <w:sz w:val="18"/>
        <w:szCs w:val="18"/>
      </w:rPr>
      <w:fldChar w:fldCharType="begin"/>
    </w:r>
    <w:r w:rsidRPr="00FE1BBD">
      <w:rPr>
        <w:sz w:val="18"/>
        <w:szCs w:val="18"/>
      </w:rPr>
      <w:instrText xml:space="preserve"> DocVariable dvFecha </w:instrText>
    </w:r>
    <w:r w:rsidRPr="00FE1BBD">
      <w:rPr>
        <w:sz w:val="18"/>
        <w:szCs w:val="18"/>
      </w:rPr>
      <w:fldChar w:fldCharType="end"/>
    </w:r>
  </w:p>
  <w:p w:rsidR="002A7508" w:rsidRPr="00FE1BBD" w:rsidRDefault="002A7508" w:rsidP="00FE1BBD">
    <w:pPr>
      <w:pStyle w:val="Tex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1D6F"/>
    <w:multiLevelType w:val="hybridMultilevel"/>
    <w:tmpl w:val="B5A8898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
    <w:nsid w:val="266F18FD"/>
    <w:multiLevelType w:val="hybridMultilevel"/>
    <w:tmpl w:val="9DFE85A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
    <w:nsid w:val="29625147"/>
    <w:multiLevelType w:val="hybridMultilevel"/>
    <w:tmpl w:val="8F14750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
    <w:nsid w:val="2D096476"/>
    <w:multiLevelType w:val="hybridMultilevel"/>
    <w:tmpl w:val="6A3E247C"/>
    <w:lvl w:ilvl="0" w:tplc="373EAAA8">
      <w:start w:val="4"/>
      <w:numFmt w:val="decimal"/>
      <w:lvlText w:val="%1."/>
      <w:lvlJc w:val="left"/>
      <w:pPr>
        <w:tabs>
          <w:tab w:val="num" w:pos="993"/>
        </w:tabs>
        <w:ind w:left="993" w:hanging="705"/>
      </w:pPr>
      <w:rPr>
        <w:rFonts w:hint="default"/>
        <w:b/>
      </w:rPr>
    </w:lvl>
    <w:lvl w:ilvl="1" w:tplc="0C0A0019" w:tentative="1">
      <w:start w:val="1"/>
      <w:numFmt w:val="lowerLetter"/>
      <w:lvlText w:val="%2."/>
      <w:lvlJc w:val="left"/>
      <w:pPr>
        <w:tabs>
          <w:tab w:val="num" w:pos="1368"/>
        </w:tabs>
        <w:ind w:left="1368" w:hanging="360"/>
      </w:pPr>
    </w:lvl>
    <w:lvl w:ilvl="2" w:tplc="0C0A001B" w:tentative="1">
      <w:start w:val="1"/>
      <w:numFmt w:val="lowerRoman"/>
      <w:lvlText w:val="%3."/>
      <w:lvlJc w:val="right"/>
      <w:pPr>
        <w:tabs>
          <w:tab w:val="num" w:pos="2088"/>
        </w:tabs>
        <w:ind w:left="2088" w:hanging="180"/>
      </w:pPr>
    </w:lvl>
    <w:lvl w:ilvl="3" w:tplc="0C0A000F" w:tentative="1">
      <w:start w:val="1"/>
      <w:numFmt w:val="decimal"/>
      <w:lvlText w:val="%4."/>
      <w:lvlJc w:val="left"/>
      <w:pPr>
        <w:tabs>
          <w:tab w:val="num" w:pos="2808"/>
        </w:tabs>
        <w:ind w:left="2808" w:hanging="360"/>
      </w:pPr>
    </w:lvl>
    <w:lvl w:ilvl="4" w:tplc="0C0A0019" w:tentative="1">
      <w:start w:val="1"/>
      <w:numFmt w:val="lowerLetter"/>
      <w:lvlText w:val="%5."/>
      <w:lvlJc w:val="left"/>
      <w:pPr>
        <w:tabs>
          <w:tab w:val="num" w:pos="3528"/>
        </w:tabs>
        <w:ind w:left="3528" w:hanging="360"/>
      </w:pPr>
    </w:lvl>
    <w:lvl w:ilvl="5" w:tplc="0C0A001B" w:tentative="1">
      <w:start w:val="1"/>
      <w:numFmt w:val="lowerRoman"/>
      <w:lvlText w:val="%6."/>
      <w:lvlJc w:val="right"/>
      <w:pPr>
        <w:tabs>
          <w:tab w:val="num" w:pos="4248"/>
        </w:tabs>
        <w:ind w:left="4248" w:hanging="180"/>
      </w:pPr>
    </w:lvl>
    <w:lvl w:ilvl="6" w:tplc="0C0A000F" w:tentative="1">
      <w:start w:val="1"/>
      <w:numFmt w:val="decimal"/>
      <w:lvlText w:val="%7."/>
      <w:lvlJc w:val="left"/>
      <w:pPr>
        <w:tabs>
          <w:tab w:val="num" w:pos="4968"/>
        </w:tabs>
        <w:ind w:left="4968" w:hanging="360"/>
      </w:pPr>
    </w:lvl>
    <w:lvl w:ilvl="7" w:tplc="0C0A0019" w:tentative="1">
      <w:start w:val="1"/>
      <w:numFmt w:val="lowerLetter"/>
      <w:lvlText w:val="%8."/>
      <w:lvlJc w:val="left"/>
      <w:pPr>
        <w:tabs>
          <w:tab w:val="num" w:pos="5688"/>
        </w:tabs>
        <w:ind w:left="5688" w:hanging="360"/>
      </w:pPr>
    </w:lvl>
    <w:lvl w:ilvl="8" w:tplc="0C0A001B" w:tentative="1">
      <w:start w:val="1"/>
      <w:numFmt w:val="lowerRoman"/>
      <w:lvlText w:val="%9."/>
      <w:lvlJc w:val="right"/>
      <w:pPr>
        <w:tabs>
          <w:tab w:val="num" w:pos="6408"/>
        </w:tabs>
        <w:ind w:left="6408" w:hanging="180"/>
      </w:pPr>
    </w:lvl>
  </w:abstractNum>
  <w:abstractNum w:abstractNumId="4">
    <w:nsid w:val="2D960149"/>
    <w:multiLevelType w:val="hybridMultilevel"/>
    <w:tmpl w:val="088635F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5">
    <w:nsid w:val="30352CDD"/>
    <w:multiLevelType w:val="hybridMultilevel"/>
    <w:tmpl w:val="B9E2BAF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6">
    <w:nsid w:val="51C82458"/>
    <w:multiLevelType w:val="hybridMultilevel"/>
    <w:tmpl w:val="ED0C7F3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7">
    <w:nsid w:val="5F8D0193"/>
    <w:multiLevelType w:val="hybridMultilevel"/>
    <w:tmpl w:val="E5C68316"/>
    <w:lvl w:ilvl="0" w:tplc="5FF6C20C">
      <w:start w:val="6"/>
      <w:numFmt w:val="decimal"/>
      <w:lvlText w:val="%1."/>
      <w:lvlJc w:val="left"/>
      <w:pPr>
        <w:tabs>
          <w:tab w:val="num" w:pos="648"/>
        </w:tabs>
        <w:ind w:left="648" w:hanging="360"/>
      </w:pPr>
      <w:rPr>
        <w:rFonts w:hint="default"/>
        <w:b/>
      </w:rPr>
    </w:lvl>
    <w:lvl w:ilvl="1" w:tplc="0C0A0019" w:tentative="1">
      <w:start w:val="1"/>
      <w:numFmt w:val="lowerLetter"/>
      <w:lvlText w:val="%2."/>
      <w:lvlJc w:val="left"/>
      <w:pPr>
        <w:tabs>
          <w:tab w:val="num" w:pos="1368"/>
        </w:tabs>
        <w:ind w:left="1368" w:hanging="360"/>
      </w:pPr>
    </w:lvl>
    <w:lvl w:ilvl="2" w:tplc="0C0A001B" w:tentative="1">
      <w:start w:val="1"/>
      <w:numFmt w:val="lowerRoman"/>
      <w:lvlText w:val="%3."/>
      <w:lvlJc w:val="right"/>
      <w:pPr>
        <w:tabs>
          <w:tab w:val="num" w:pos="2088"/>
        </w:tabs>
        <w:ind w:left="2088" w:hanging="180"/>
      </w:pPr>
    </w:lvl>
    <w:lvl w:ilvl="3" w:tplc="0C0A000F" w:tentative="1">
      <w:start w:val="1"/>
      <w:numFmt w:val="decimal"/>
      <w:lvlText w:val="%4."/>
      <w:lvlJc w:val="left"/>
      <w:pPr>
        <w:tabs>
          <w:tab w:val="num" w:pos="2808"/>
        </w:tabs>
        <w:ind w:left="2808" w:hanging="360"/>
      </w:pPr>
    </w:lvl>
    <w:lvl w:ilvl="4" w:tplc="0C0A0019" w:tentative="1">
      <w:start w:val="1"/>
      <w:numFmt w:val="lowerLetter"/>
      <w:lvlText w:val="%5."/>
      <w:lvlJc w:val="left"/>
      <w:pPr>
        <w:tabs>
          <w:tab w:val="num" w:pos="3528"/>
        </w:tabs>
        <w:ind w:left="3528" w:hanging="360"/>
      </w:pPr>
    </w:lvl>
    <w:lvl w:ilvl="5" w:tplc="0C0A001B" w:tentative="1">
      <w:start w:val="1"/>
      <w:numFmt w:val="lowerRoman"/>
      <w:lvlText w:val="%6."/>
      <w:lvlJc w:val="right"/>
      <w:pPr>
        <w:tabs>
          <w:tab w:val="num" w:pos="4248"/>
        </w:tabs>
        <w:ind w:left="4248" w:hanging="180"/>
      </w:pPr>
    </w:lvl>
    <w:lvl w:ilvl="6" w:tplc="0C0A000F" w:tentative="1">
      <w:start w:val="1"/>
      <w:numFmt w:val="decimal"/>
      <w:lvlText w:val="%7."/>
      <w:lvlJc w:val="left"/>
      <w:pPr>
        <w:tabs>
          <w:tab w:val="num" w:pos="4968"/>
        </w:tabs>
        <w:ind w:left="4968" w:hanging="360"/>
      </w:pPr>
    </w:lvl>
    <w:lvl w:ilvl="7" w:tplc="0C0A0019" w:tentative="1">
      <w:start w:val="1"/>
      <w:numFmt w:val="lowerLetter"/>
      <w:lvlText w:val="%8."/>
      <w:lvlJc w:val="left"/>
      <w:pPr>
        <w:tabs>
          <w:tab w:val="num" w:pos="5688"/>
        </w:tabs>
        <w:ind w:left="5688" w:hanging="360"/>
      </w:pPr>
    </w:lvl>
    <w:lvl w:ilvl="8" w:tplc="0C0A001B" w:tentative="1">
      <w:start w:val="1"/>
      <w:numFmt w:val="lowerRoman"/>
      <w:lvlText w:val="%9."/>
      <w:lvlJc w:val="right"/>
      <w:pPr>
        <w:tabs>
          <w:tab w:val="num" w:pos="6408"/>
        </w:tabs>
        <w:ind w:left="6408" w:hanging="180"/>
      </w:p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proofState w:grammar="clean"/>
  <w:attachedTemplate r:id="rId1"/>
  <w:stylePaneFormatFilter w:val="3F01"/>
  <w:defaultTabStop w:val="706"/>
  <w:hyphenationZone w:val="425"/>
  <w:evenAndOddHeaders/>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11421F"/>
    <w:rsid w:val="000044AA"/>
    <w:rsid w:val="00020E13"/>
    <w:rsid w:val="00025C57"/>
    <w:rsid w:val="000274D4"/>
    <w:rsid w:val="000353AC"/>
    <w:rsid w:val="00036C53"/>
    <w:rsid w:val="000562D3"/>
    <w:rsid w:val="00070452"/>
    <w:rsid w:val="00085CFF"/>
    <w:rsid w:val="000934C4"/>
    <w:rsid w:val="000953C0"/>
    <w:rsid w:val="000D0B61"/>
    <w:rsid w:val="000F0FA3"/>
    <w:rsid w:val="000F2271"/>
    <w:rsid w:val="00107C92"/>
    <w:rsid w:val="0011421F"/>
    <w:rsid w:val="001303A7"/>
    <w:rsid w:val="001473C6"/>
    <w:rsid w:val="00155A7E"/>
    <w:rsid w:val="001677BF"/>
    <w:rsid w:val="0017040E"/>
    <w:rsid w:val="00170D14"/>
    <w:rsid w:val="00176B02"/>
    <w:rsid w:val="00182537"/>
    <w:rsid w:val="001A3CF9"/>
    <w:rsid w:val="001B6981"/>
    <w:rsid w:val="001D2484"/>
    <w:rsid w:val="001E6CB1"/>
    <w:rsid w:val="001F6325"/>
    <w:rsid w:val="0020140A"/>
    <w:rsid w:val="00206823"/>
    <w:rsid w:val="00212F4F"/>
    <w:rsid w:val="002174D8"/>
    <w:rsid w:val="002428DC"/>
    <w:rsid w:val="0025082C"/>
    <w:rsid w:val="00255299"/>
    <w:rsid w:val="002573DC"/>
    <w:rsid w:val="00276508"/>
    <w:rsid w:val="00281AC8"/>
    <w:rsid w:val="00291CA7"/>
    <w:rsid w:val="002940B6"/>
    <w:rsid w:val="002A0379"/>
    <w:rsid w:val="002A7508"/>
    <w:rsid w:val="002B127D"/>
    <w:rsid w:val="002C3644"/>
    <w:rsid w:val="002E0094"/>
    <w:rsid w:val="002F6279"/>
    <w:rsid w:val="002F666A"/>
    <w:rsid w:val="002F6B75"/>
    <w:rsid w:val="00302EB1"/>
    <w:rsid w:val="0030321A"/>
    <w:rsid w:val="00323864"/>
    <w:rsid w:val="00330780"/>
    <w:rsid w:val="0033695F"/>
    <w:rsid w:val="00337E20"/>
    <w:rsid w:val="00357A6B"/>
    <w:rsid w:val="003701B3"/>
    <w:rsid w:val="00373DFE"/>
    <w:rsid w:val="003B3A31"/>
    <w:rsid w:val="003D4EBE"/>
    <w:rsid w:val="003E7472"/>
    <w:rsid w:val="00404A9C"/>
    <w:rsid w:val="00406080"/>
    <w:rsid w:val="00410B8C"/>
    <w:rsid w:val="00412ED6"/>
    <w:rsid w:val="004142D5"/>
    <w:rsid w:val="0042779F"/>
    <w:rsid w:val="00440349"/>
    <w:rsid w:val="00442E0C"/>
    <w:rsid w:val="00456B91"/>
    <w:rsid w:val="00464085"/>
    <w:rsid w:val="004652D9"/>
    <w:rsid w:val="00470F2B"/>
    <w:rsid w:val="00487443"/>
    <w:rsid w:val="004A7426"/>
    <w:rsid w:val="004B2F2C"/>
    <w:rsid w:val="004D4A72"/>
    <w:rsid w:val="004E0304"/>
    <w:rsid w:val="004E769C"/>
    <w:rsid w:val="004E77FB"/>
    <w:rsid w:val="004F3FE9"/>
    <w:rsid w:val="004F6A90"/>
    <w:rsid w:val="004F7DCD"/>
    <w:rsid w:val="00512CDB"/>
    <w:rsid w:val="00514993"/>
    <w:rsid w:val="0053581A"/>
    <w:rsid w:val="00535845"/>
    <w:rsid w:val="0054357F"/>
    <w:rsid w:val="005438AB"/>
    <w:rsid w:val="00555FDE"/>
    <w:rsid w:val="00570040"/>
    <w:rsid w:val="005D7D14"/>
    <w:rsid w:val="00613918"/>
    <w:rsid w:val="0061793D"/>
    <w:rsid w:val="006231E1"/>
    <w:rsid w:val="00627360"/>
    <w:rsid w:val="00627D1A"/>
    <w:rsid w:val="0063495E"/>
    <w:rsid w:val="00656CFF"/>
    <w:rsid w:val="0066233C"/>
    <w:rsid w:val="00675303"/>
    <w:rsid w:val="00676B40"/>
    <w:rsid w:val="00680EF1"/>
    <w:rsid w:val="00681BC5"/>
    <w:rsid w:val="006878F4"/>
    <w:rsid w:val="00691836"/>
    <w:rsid w:val="006924DD"/>
    <w:rsid w:val="0069357B"/>
    <w:rsid w:val="00697B7C"/>
    <w:rsid w:val="006A2BBA"/>
    <w:rsid w:val="006B6947"/>
    <w:rsid w:val="006B7539"/>
    <w:rsid w:val="006C2051"/>
    <w:rsid w:val="006D1DCA"/>
    <w:rsid w:val="006D2276"/>
    <w:rsid w:val="006E2487"/>
    <w:rsid w:val="006E4EE3"/>
    <w:rsid w:val="007059F5"/>
    <w:rsid w:val="00717A6D"/>
    <w:rsid w:val="00735E9D"/>
    <w:rsid w:val="00746136"/>
    <w:rsid w:val="00746A49"/>
    <w:rsid w:val="00746FC8"/>
    <w:rsid w:val="007578BE"/>
    <w:rsid w:val="0077219B"/>
    <w:rsid w:val="007A49DD"/>
    <w:rsid w:val="007D00B8"/>
    <w:rsid w:val="007D5EF4"/>
    <w:rsid w:val="007E0210"/>
    <w:rsid w:val="007E336D"/>
    <w:rsid w:val="007F729A"/>
    <w:rsid w:val="00801ACF"/>
    <w:rsid w:val="00817B00"/>
    <w:rsid w:val="00827CE1"/>
    <w:rsid w:val="0083080F"/>
    <w:rsid w:val="008651ED"/>
    <w:rsid w:val="00875A59"/>
    <w:rsid w:val="008906C0"/>
    <w:rsid w:val="0089558E"/>
    <w:rsid w:val="008D17A5"/>
    <w:rsid w:val="008D1D00"/>
    <w:rsid w:val="008D6886"/>
    <w:rsid w:val="008F3DA6"/>
    <w:rsid w:val="009131C5"/>
    <w:rsid w:val="00913D77"/>
    <w:rsid w:val="009273D3"/>
    <w:rsid w:val="009329FB"/>
    <w:rsid w:val="00945F33"/>
    <w:rsid w:val="00953A77"/>
    <w:rsid w:val="009625B5"/>
    <w:rsid w:val="00965F90"/>
    <w:rsid w:val="009C02DA"/>
    <w:rsid w:val="009D0BEF"/>
    <w:rsid w:val="009E3B35"/>
    <w:rsid w:val="009E63EA"/>
    <w:rsid w:val="009F050F"/>
    <w:rsid w:val="00A10047"/>
    <w:rsid w:val="00A31E9B"/>
    <w:rsid w:val="00A333DC"/>
    <w:rsid w:val="00A35A8B"/>
    <w:rsid w:val="00A35B9F"/>
    <w:rsid w:val="00A42E3E"/>
    <w:rsid w:val="00A4730C"/>
    <w:rsid w:val="00A50236"/>
    <w:rsid w:val="00A56A8D"/>
    <w:rsid w:val="00A73F8A"/>
    <w:rsid w:val="00AA41B8"/>
    <w:rsid w:val="00AA46C9"/>
    <w:rsid w:val="00AB6913"/>
    <w:rsid w:val="00AE5B04"/>
    <w:rsid w:val="00B00632"/>
    <w:rsid w:val="00B14C29"/>
    <w:rsid w:val="00B170E8"/>
    <w:rsid w:val="00B24D1C"/>
    <w:rsid w:val="00B328B5"/>
    <w:rsid w:val="00B3769E"/>
    <w:rsid w:val="00B63531"/>
    <w:rsid w:val="00B63E78"/>
    <w:rsid w:val="00B66A71"/>
    <w:rsid w:val="00B86C3D"/>
    <w:rsid w:val="00BD1616"/>
    <w:rsid w:val="00BF091C"/>
    <w:rsid w:val="00C17571"/>
    <w:rsid w:val="00C17C4C"/>
    <w:rsid w:val="00C320DA"/>
    <w:rsid w:val="00C335BA"/>
    <w:rsid w:val="00C354F8"/>
    <w:rsid w:val="00C367A2"/>
    <w:rsid w:val="00C7081B"/>
    <w:rsid w:val="00CA2FDC"/>
    <w:rsid w:val="00CA3BBA"/>
    <w:rsid w:val="00CA3CEF"/>
    <w:rsid w:val="00CC0602"/>
    <w:rsid w:val="00CC71C5"/>
    <w:rsid w:val="00CF6193"/>
    <w:rsid w:val="00D00F74"/>
    <w:rsid w:val="00D04785"/>
    <w:rsid w:val="00D32C7D"/>
    <w:rsid w:val="00D42FD2"/>
    <w:rsid w:val="00D54C2F"/>
    <w:rsid w:val="00D64953"/>
    <w:rsid w:val="00D81D48"/>
    <w:rsid w:val="00D87572"/>
    <w:rsid w:val="00D94E10"/>
    <w:rsid w:val="00DB2C79"/>
    <w:rsid w:val="00DE4C7A"/>
    <w:rsid w:val="00DF6036"/>
    <w:rsid w:val="00DF6BC3"/>
    <w:rsid w:val="00E029E7"/>
    <w:rsid w:val="00E21F6A"/>
    <w:rsid w:val="00E2256D"/>
    <w:rsid w:val="00E22817"/>
    <w:rsid w:val="00E30B22"/>
    <w:rsid w:val="00E3798A"/>
    <w:rsid w:val="00E460F3"/>
    <w:rsid w:val="00E5626A"/>
    <w:rsid w:val="00E623E2"/>
    <w:rsid w:val="00E81A3B"/>
    <w:rsid w:val="00E82585"/>
    <w:rsid w:val="00E84FE8"/>
    <w:rsid w:val="00E96594"/>
    <w:rsid w:val="00E96885"/>
    <w:rsid w:val="00EA0ABD"/>
    <w:rsid w:val="00EA46E7"/>
    <w:rsid w:val="00EC3488"/>
    <w:rsid w:val="00EF226B"/>
    <w:rsid w:val="00F00937"/>
    <w:rsid w:val="00F263D1"/>
    <w:rsid w:val="00F315C9"/>
    <w:rsid w:val="00F33C26"/>
    <w:rsid w:val="00F51E5E"/>
    <w:rsid w:val="00F5399D"/>
    <w:rsid w:val="00F64B32"/>
    <w:rsid w:val="00F808C0"/>
    <w:rsid w:val="00F83712"/>
    <w:rsid w:val="00F85CA3"/>
    <w:rsid w:val="00F93925"/>
    <w:rsid w:val="00FC03A2"/>
    <w:rsid w:val="00FC5DD1"/>
    <w:rsid w:val="00FD0D2C"/>
    <w:rsid w:val="00FD44E8"/>
    <w:rsid w:val="00FD7200"/>
    <w:rsid w:val="00FE1BBD"/>
    <w:rsid w:val="00FE5F30"/>
    <w:rsid w:val="00FE7A73"/>
    <w:rsid w:val="00FF25A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Texto">
    <w:name w:val="Texto"/>
    <w:basedOn w:val="Normal"/>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texto0">
    <w:name w:val="texto"/>
    <w:basedOn w:val="Normal"/>
    <w:rsid w:val="00E82585"/>
    <w:pPr>
      <w:spacing w:after="101" w:line="216" w:lineRule="exact"/>
      <w:ind w:firstLine="288"/>
      <w:jc w:val="both"/>
    </w:pPr>
    <w:rPr>
      <w:rFonts w:ascii="Arial" w:hAnsi="Arial" w:cs="Arial"/>
      <w:sz w:val="18"/>
      <w:szCs w:val="18"/>
      <w:lang w:val="es-MX" w:eastAsia="es-MX"/>
    </w:rPr>
  </w:style>
  <w:style w:type="paragraph" w:customStyle="1" w:styleId="EstilotextoPrimeralnea0">
    <w:name w:val="Estilo texto + Primera línea:  0&quot;"/>
    <w:basedOn w:val="texto0"/>
    <w:rsid w:val="00E82585"/>
    <w:pPr>
      <w:ind w:firstLine="0"/>
    </w:pPr>
    <w:rPr>
      <w:rFonts w:cs="Times New Roman"/>
      <w:szCs w:val="20"/>
    </w:rPr>
  </w:style>
  <w:style w:type="paragraph" w:styleId="Mapadeldocumento">
    <w:name w:val="Document Map"/>
    <w:basedOn w:val="Normal"/>
    <w:semiHidden/>
    <w:rsid w:val="00A35B9F"/>
    <w:pPr>
      <w:shd w:val="clear" w:color="auto" w:fill="000080"/>
    </w:pPr>
    <w:rPr>
      <w:rFonts w:ascii="Tahoma" w:hAnsi="Tahoma" w:cs="Tahoma"/>
      <w:sz w:val="20"/>
      <w:szCs w:val="20"/>
    </w:rPr>
  </w:style>
  <w:style w:type="paragraph" w:styleId="Textonotapie">
    <w:name w:val="footnote text"/>
    <w:basedOn w:val="Normal"/>
    <w:rsid w:val="0011421F"/>
    <w:rPr>
      <w:szCs w:val="20"/>
    </w:rPr>
  </w:style>
  <w:style w:type="paragraph" w:styleId="Piedepgina">
    <w:name w:val="footer"/>
    <w:basedOn w:val="Normal"/>
    <w:rsid w:val="0011421F"/>
    <w:pPr>
      <w:tabs>
        <w:tab w:val="center" w:pos="4419"/>
        <w:tab w:val="right" w:pos="8838"/>
      </w:tabs>
    </w:pPr>
    <w:rPr>
      <w:sz w:val="20"/>
      <w:szCs w:val="20"/>
    </w:rPr>
  </w:style>
  <w:style w:type="paragraph" w:styleId="Encabezado">
    <w:name w:val="header"/>
    <w:basedOn w:val="Normal"/>
    <w:rsid w:val="0011421F"/>
    <w:pPr>
      <w:tabs>
        <w:tab w:val="center" w:pos="4419"/>
        <w:tab w:val="right" w:pos="8838"/>
      </w:tabs>
    </w:pPr>
    <w:rPr>
      <w:sz w:val="20"/>
      <w:szCs w:val="20"/>
    </w:rPr>
  </w:style>
  <w:style w:type="table" w:styleId="Tablaconcuadrcula">
    <w:name w:val="Table Grid"/>
    <w:basedOn w:val="Tablanormal"/>
    <w:rsid w:val="00B63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notaalpie">
    <w:name w:val="footnote reference"/>
    <w:basedOn w:val="Fuentedeprrafopredeter"/>
    <w:semiHidden/>
    <w:rsid w:val="003D4EBE"/>
    <w:rPr>
      <w:vertAlign w:val="superscript"/>
    </w:rPr>
  </w:style>
  <w:style w:type="paragraph" w:customStyle="1" w:styleId="Sumario">
    <w:name w:val="Sumario"/>
    <w:basedOn w:val="Normal"/>
    <w:rsid w:val="003701B3"/>
    <w:pPr>
      <w:tabs>
        <w:tab w:val="right" w:leader="dot" w:pos="8107"/>
        <w:tab w:val="right" w:pos="8640"/>
      </w:tabs>
      <w:spacing w:line="260" w:lineRule="exact"/>
      <w:ind w:left="274" w:right="749"/>
      <w:jc w:val="both"/>
    </w:pPr>
    <w:rPr>
      <w:rFonts w:ascii="Arial" w:hAnsi="Arial"/>
      <w:sz w:val="18"/>
      <w:szCs w:val="18"/>
    </w:rPr>
  </w:style>
  <w:style w:type="paragraph" w:customStyle="1" w:styleId="Secreta">
    <w:name w:val="Secreta"/>
    <w:basedOn w:val="Normal"/>
    <w:autoRedefine/>
    <w:rsid w:val="003701B3"/>
    <w:pPr>
      <w:tabs>
        <w:tab w:val="right" w:leader="dot" w:pos="8100"/>
        <w:tab w:val="right" w:pos="8640"/>
      </w:tabs>
      <w:spacing w:line="334" w:lineRule="exact"/>
      <w:ind w:left="274" w:right="749"/>
      <w:jc w:val="both"/>
    </w:pPr>
    <w:rPr>
      <w:b/>
      <w:sz w:val="20"/>
      <w:szCs w:val="20"/>
      <w:u w:val="single"/>
      <w:lang w:val="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_rels/footer1.xml.rels><?xml version="1.0" encoding="UTF-8" standalone="yes"?>
<Relationships xmlns="http://schemas.openxmlformats.org/package/2006/relationships"><Relationship Id="rId1" Type="http://schemas.openxmlformats.org/officeDocument/2006/relationships/hyperlink" Target="http://www.conac.gob.m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gutierrez\Datos%20de%20programa\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8</Pages>
  <Words>2713</Words>
  <Characters>14927</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SECRETARIA DE HACIENDA Y CREDITO PUBLICO</vt:lpstr>
    </vt:vector>
  </TitlesOfParts>
  <Company>Diario Oficial de la Federación</Company>
  <LinksUpToDate>false</LinksUpToDate>
  <CharactersWithSpaces>17605</CharactersWithSpaces>
  <SharedDoc>false</SharedDoc>
  <HLinks>
    <vt:vector size="6" baseType="variant">
      <vt:variant>
        <vt:i4>131145</vt:i4>
      </vt:variant>
      <vt:variant>
        <vt:i4>0</vt:i4>
      </vt:variant>
      <vt:variant>
        <vt:i4>0</vt:i4>
      </vt:variant>
      <vt:variant>
        <vt:i4>5</vt:i4>
      </vt:variant>
      <vt:variant>
        <vt:lpwstr>http://www.conac.gob.mx/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HACIENDA Y CREDITO PUBLICO</dc:title>
  <dc:subject/>
  <dc:creator>DOF</dc:creator>
  <cp:keywords/>
  <cp:lastModifiedBy>David Arizmendi Parra</cp:lastModifiedBy>
  <cp:revision>2</cp:revision>
  <cp:lastPrinted>2009-12-08T23:23:00Z</cp:lastPrinted>
  <dcterms:created xsi:type="dcterms:W3CDTF">2013-10-04T23:45:00Z</dcterms:created>
  <dcterms:modified xsi:type="dcterms:W3CDTF">2013-10-04T23:45:00Z</dcterms:modified>
</cp:coreProperties>
</file>