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2E90" w:rsidRDefault="00BA2E90" w:rsidP="00BA2E90">
      <w:pPr>
        <w:pStyle w:val="Titulo1"/>
      </w:pPr>
      <w:r w:rsidRPr="00927D2F">
        <w:t>LINEAMIENTOS para el registro auxiliar</w:t>
      </w:r>
      <w:r>
        <w:t xml:space="preserve"> </w:t>
      </w:r>
      <w:r w:rsidRPr="00927D2F">
        <w:t>sujeto a inventario de bienes arqueológicos, artísticos e históricos bajo</w:t>
      </w:r>
      <w:r>
        <w:t xml:space="preserve"> </w:t>
      </w:r>
      <w:r w:rsidRPr="00927D2F">
        <w:t>custodia de los entes públicos</w:t>
      </w:r>
      <w:r>
        <w:t>.</w:t>
      </w:r>
    </w:p>
    <w:p w:rsidR="00BA2E90" w:rsidRPr="00927D2F" w:rsidRDefault="00BA2E90" w:rsidP="00BA2E90">
      <w:pPr>
        <w:pStyle w:val="Texto"/>
        <w:spacing w:line="232" w:lineRule="exact"/>
      </w:pPr>
    </w:p>
    <w:p w:rsidR="00BA2E90" w:rsidRPr="00927D2F" w:rsidRDefault="00BA2E90" w:rsidP="00BA2E90">
      <w:pPr>
        <w:pStyle w:val="Texto"/>
        <w:spacing w:line="232" w:lineRule="exact"/>
        <w:ind w:firstLine="0"/>
        <w:jc w:val="center"/>
        <w:rPr>
          <w:b/>
          <w:smallCaps/>
          <w:szCs w:val="24"/>
        </w:rPr>
      </w:pPr>
      <w:r w:rsidRPr="00927D2F">
        <w:rPr>
          <w:b/>
          <w:smallCaps/>
          <w:szCs w:val="24"/>
        </w:rPr>
        <w:t>Lineamientos para el registro auxiliar</w:t>
      </w:r>
      <w:r w:rsidRPr="00927D2F">
        <w:rPr>
          <w:b/>
          <w:smallCaps/>
          <w:szCs w:val="24"/>
        </w:rPr>
        <w:br/>
        <w:t>sujeto a inventario de bienes arqueológicos, artísticos e históricos bajo</w:t>
      </w:r>
      <w:r w:rsidRPr="00927D2F">
        <w:rPr>
          <w:b/>
          <w:smallCaps/>
          <w:szCs w:val="24"/>
        </w:rPr>
        <w:br/>
        <w:t>custodia de los entes públicos</w:t>
      </w:r>
    </w:p>
    <w:p w:rsidR="00BA2E90" w:rsidRPr="00927D2F" w:rsidRDefault="00BA2E90" w:rsidP="00BA2E90">
      <w:pPr>
        <w:pStyle w:val="ANOTACION"/>
        <w:spacing w:line="232" w:lineRule="exact"/>
        <w:rPr>
          <w:rFonts w:ascii="Arial" w:hAnsi="Arial" w:cs="Arial"/>
        </w:rPr>
      </w:pPr>
      <w:r w:rsidRPr="00927D2F">
        <w:t>ANTECEDENTES</w:t>
      </w:r>
    </w:p>
    <w:p w:rsidR="00BA2E90" w:rsidRPr="00927D2F" w:rsidRDefault="00BA2E90" w:rsidP="00BA2E90">
      <w:pPr>
        <w:pStyle w:val="Texto"/>
        <w:spacing w:line="240" w:lineRule="exact"/>
        <w:rPr>
          <w:szCs w:val="22"/>
        </w:rPr>
      </w:pPr>
      <w:r w:rsidRPr="00927D2F">
        <w:rPr>
          <w:szCs w:val="22"/>
        </w:rPr>
        <w:t>El 31 de diciembre de 2008 se publicó en el Diario Oficial de la Federación la Ley General de Contabilidad Gubernamental (Ley de Contabilidad), que tiene como objeto establecer los criterios generales que regirán la Contabilidad Gubernamental y la emisión de información financiera de los entes públicos, con el fin de lograr su adecuada armonización, para facilitar a los entes públicos el registro y la fiscalización de los activos, pasivos, ingresos y gastos y, en general, contribuir a medir la eficacia, economía y eficiencia del gasto e ingreso públicos.</w:t>
      </w:r>
    </w:p>
    <w:p w:rsidR="00BA2E90" w:rsidRPr="00927D2F" w:rsidRDefault="00BA2E90" w:rsidP="00BA2E90">
      <w:pPr>
        <w:pStyle w:val="Texto"/>
        <w:spacing w:line="232" w:lineRule="exact"/>
        <w:rPr>
          <w:szCs w:val="22"/>
        </w:rPr>
      </w:pPr>
      <w:r w:rsidRPr="00927D2F">
        <w:rPr>
          <w:szCs w:val="22"/>
        </w:rPr>
        <w:t xml:space="preserve">La Ley de Contabilidad es de observancia obligatoria para los poderes Ejecutivo, Legislativo y Judicial de la Federación, entidades federativas; los ayuntamientos de los municipios; los órganos político-administrativos de las demarcaciones territoriales del Distrito Federal; las entidades de la administración pública paraestatal, ya sean Federales, Estatales o Municipales y los </w:t>
      </w:r>
      <w:r>
        <w:rPr>
          <w:szCs w:val="22"/>
        </w:rPr>
        <w:t>O</w:t>
      </w:r>
      <w:r w:rsidRPr="00927D2F">
        <w:rPr>
          <w:szCs w:val="22"/>
        </w:rPr>
        <w:t>rganos Autónomos Federales y Estatales.</w:t>
      </w:r>
    </w:p>
    <w:p w:rsidR="00BA2E90" w:rsidRPr="00927D2F" w:rsidRDefault="00BA2E90" w:rsidP="00BA2E90">
      <w:pPr>
        <w:pStyle w:val="Texto"/>
        <w:spacing w:after="80" w:line="239" w:lineRule="exact"/>
        <w:rPr>
          <w:szCs w:val="22"/>
        </w:rPr>
      </w:pPr>
      <w:r w:rsidRPr="00927D2F">
        <w:rPr>
          <w:szCs w:val="22"/>
        </w:rPr>
        <w:t>El órgano de coordinación para la armonización de la Contabilidad Gubernamental es el Consejo Nacional de Armonización Contable (CONAC), el cual tiene por objeto la emisión de las normas contables y lineamientos para la generación de información financiera que aplicarán los entes públicos, previamente formuladas y propuestas por el Secretario Técnico.</w:t>
      </w:r>
    </w:p>
    <w:p w:rsidR="00BA2E90" w:rsidRPr="00927D2F" w:rsidRDefault="00BA2E90" w:rsidP="00BA2E90">
      <w:pPr>
        <w:pStyle w:val="Texto"/>
        <w:spacing w:after="80" w:line="239" w:lineRule="exact"/>
        <w:rPr>
          <w:szCs w:val="22"/>
        </w:rPr>
      </w:pPr>
      <w:r w:rsidRPr="00927D2F">
        <w:rPr>
          <w:szCs w:val="22"/>
        </w:rPr>
        <w:t>El CONAC desempeña una función única debido a que los instrumentos normativos, contables, económicos y financieros que emite deben ser implementados por los entes públicos, a través de las modificaciones, adiciones o reformas a su marco jurídico, lo cual podría consistir en la eventual modificación o expedición de leyes y disposiciones administrativas de carácter local, según sea el caso.</w:t>
      </w:r>
    </w:p>
    <w:p w:rsidR="00BA2E90" w:rsidRPr="00927D2F" w:rsidRDefault="00BA2E90" w:rsidP="00BA2E90">
      <w:pPr>
        <w:pStyle w:val="Texto"/>
        <w:spacing w:after="80" w:line="239" w:lineRule="exact"/>
        <w:rPr>
          <w:szCs w:val="22"/>
        </w:rPr>
      </w:pPr>
      <w:r w:rsidRPr="00927D2F">
        <w:rPr>
          <w:szCs w:val="22"/>
        </w:rPr>
        <w:t>Por lo anterior, el CONAC, en el marco de la Ley de Contabilidad está obligado a contar con un mecanismo de seguimiento que informe el grado de avance en el cumplimiento de las decisiones de dicho cuerpo colegiado. El Secretario Técnico del CONAC realizará el registro de los actos que los gobiernos de las entidades federativas, municipios y demarcaciones territoriales del Distrito Federal ejecuten para adoptar e implementar las decisiones tomadas por el CONAC en sus respectivos ámbitos de competencia.</w:t>
      </w:r>
    </w:p>
    <w:p w:rsidR="00BA2E90" w:rsidRPr="00927D2F" w:rsidRDefault="00BA2E90" w:rsidP="00BA2E90">
      <w:pPr>
        <w:pStyle w:val="Texto"/>
        <w:spacing w:after="80" w:line="239" w:lineRule="exact"/>
        <w:rPr>
          <w:szCs w:val="22"/>
        </w:rPr>
      </w:pPr>
      <w:r w:rsidRPr="00927D2F">
        <w:rPr>
          <w:szCs w:val="22"/>
        </w:rPr>
        <w:t xml:space="preserve">El Secretario Técnico será el encargado de publicar dicha información, asegurándose que cualquier persona pueda tener fácil acceso a la misma. Lo anterior cumple con la finalidad de proporcionar a la población una herramienta de seguimiento, mediante la cual se dé cuenta sobre el grado de cumplimiento de </w:t>
      </w:r>
      <w:proofErr w:type="gramStart"/>
      <w:r w:rsidRPr="00927D2F">
        <w:rPr>
          <w:szCs w:val="22"/>
        </w:rPr>
        <w:t>las</w:t>
      </w:r>
      <w:proofErr w:type="gramEnd"/>
      <w:r w:rsidRPr="00927D2F">
        <w:rPr>
          <w:szCs w:val="22"/>
        </w:rPr>
        <w:t xml:space="preserve"> entidades federativas y municipios. No se omite mencionar que la propia Ley de Contabilidad establece que las entidades federativas que no estén al corriente en sus obligaciones, no podrán inscribir obligaciones en el Registro de Obligaciones y Empréstitos.</w:t>
      </w:r>
    </w:p>
    <w:p w:rsidR="00BA2E90" w:rsidRPr="00927D2F" w:rsidRDefault="00BA2E90" w:rsidP="00BA2E90">
      <w:pPr>
        <w:pStyle w:val="Texto"/>
        <w:spacing w:after="80" w:line="239" w:lineRule="exact"/>
        <w:rPr>
          <w:szCs w:val="22"/>
        </w:rPr>
      </w:pPr>
      <w:r w:rsidRPr="00927D2F">
        <w:rPr>
          <w:szCs w:val="22"/>
        </w:rPr>
        <w:t>En el marco de la Ley de Contabilidad, las entidades federativas deberán asumir una posición estratégica en las actividades de armonización para que cada uno de sus municipios logre cumplir con los objetivos que dicha ley ordena. Los gobiernos de las Entidades Federativas deben brindar la cooperación y asistencia necesarias a los gobiernos de sus municipios, para que éstos logren armonizar su contabilidad, con base en las decisiones que alcance el CONAC.</w:t>
      </w:r>
    </w:p>
    <w:p w:rsidR="00BA2E90" w:rsidRPr="00927D2F" w:rsidRDefault="00BA2E90" w:rsidP="00BA2E90">
      <w:pPr>
        <w:pStyle w:val="Texto"/>
        <w:spacing w:after="80" w:line="239" w:lineRule="exact"/>
        <w:rPr>
          <w:szCs w:val="22"/>
        </w:rPr>
      </w:pPr>
      <w:r w:rsidRPr="00927D2F">
        <w:rPr>
          <w:szCs w:val="22"/>
        </w:rPr>
        <w:t>Asimismo, es necesario considerar que los presentes Lineamientos</w:t>
      </w:r>
      <w:r>
        <w:rPr>
          <w:szCs w:val="22"/>
        </w:rPr>
        <w:t xml:space="preserve"> </w:t>
      </w:r>
      <w:r w:rsidRPr="00927D2F">
        <w:rPr>
          <w:szCs w:val="22"/>
        </w:rPr>
        <w:t>se emiten con el fin de establecer las bases para que los gobiernos: federal, de las entidades federativas y municipales, cumplan con las obligaciones que les impone el artículo cuarto transitorio de la Ley de Contabilidad. Lo anterior en el entendido de que los entes públicos de cada nivel de gobierno deberán realizar las acciones necesarias para cumplir con dichas obligaciones.</w:t>
      </w:r>
    </w:p>
    <w:p w:rsidR="00BA2E90" w:rsidRPr="00927D2F" w:rsidRDefault="00BA2E90" w:rsidP="00BA2E90">
      <w:pPr>
        <w:pStyle w:val="Texto"/>
        <w:spacing w:after="80" w:line="239" w:lineRule="exact"/>
        <w:rPr>
          <w:szCs w:val="22"/>
        </w:rPr>
      </w:pPr>
      <w:r w:rsidRPr="00927D2F">
        <w:rPr>
          <w:szCs w:val="22"/>
        </w:rPr>
        <w:t xml:space="preserve">Los presentes </w:t>
      </w:r>
      <w:r w:rsidRPr="00927D2F">
        <w:rPr>
          <w:b/>
          <w:szCs w:val="22"/>
        </w:rPr>
        <w:t>Lineamientos para el registro auxiliar sujeto a inventario de bienes arqueológicos, artísticos e históricos bajo custodia de los entes públicos</w:t>
      </w:r>
      <w:r w:rsidRPr="00927D2F">
        <w:rPr>
          <w:szCs w:val="22"/>
        </w:rPr>
        <w:t xml:space="preserve"> elaborados por el Secretariado Técnico, fueron sometidos a opinión del Comité Consultivo, el cual los examinó, contando con la participación de entidades federativas, municipios, la Auditoría Superior de la Federación, las entidades estatales de Fiscalización, el Instituto para el Desarrollo Técnico de las Haciendas Públicas, el Instituto Mexicano de Contadores Públicos, </w:t>
      </w:r>
      <w:r w:rsidRPr="00927D2F">
        <w:rPr>
          <w:szCs w:val="22"/>
        </w:rPr>
        <w:lastRenderedPageBreak/>
        <w:t>la Federación Nacional de la Asociación Mexicana de Contadores Públicos y la Comisión Permanente de Contralores Estados-Federación. Así como, los grupos que integran la Comisión Permanente de Funcionarios Fiscales.</w:t>
      </w:r>
    </w:p>
    <w:p w:rsidR="00BA2E90" w:rsidRPr="00927D2F" w:rsidRDefault="00BA2E90" w:rsidP="00BA2E90">
      <w:pPr>
        <w:pStyle w:val="Texto"/>
        <w:spacing w:after="80" w:line="239" w:lineRule="exact"/>
        <w:rPr>
          <w:szCs w:val="22"/>
        </w:rPr>
      </w:pPr>
      <w:r w:rsidRPr="00927D2F">
        <w:rPr>
          <w:szCs w:val="22"/>
        </w:rPr>
        <w:t xml:space="preserve">Con fecha 6 de julio de 2012, el Comité Consultivo hizo llegar al Secretario Técnico la opinión sobre los </w:t>
      </w:r>
      <w:r w:rsidRPr="00927D2F">
        <w:rPr>
          <w:b/>
          <w:szCs w:val="22"/>
        </w:rPr>
        <w:t>Lineamientos para el registro auxiliar sujeto a inventario de bienes arqueológicos, artísticos e históricos bajo custodia de los entes públicos.</w:t>
      </w:r>
    </w:p>
    <w:p w:rsidR="00BA2E90" w:rsidRPr="00927D2F" w:rsidRDefault="00BA2E90" w:rsidP="00BA2E90">
      <w:pPr>
        <w:pStyle w:val="Texto"/>
        <w:spacing w:after="80" w:line="239" w:lineRule="exact"/>
        <w:rPr>
          <w:szCs w:val="22"/>
        </w:rPr>
      </w:pPr>
      <w:r w:rsidRPr="00927D2F">
        <w:rPr>
          <w:szCs w:val="22"/>
        </w:rPr>
        <w:t xml:space="preserve">En virtud de lo anterior, y con fundamento en los artículos 6 y 9, de la Ley de Contabilidad, el CONAC ha decidido emitir los </w:t>
      </w:r>
      <w:r w:rsidRPr="00927D2F">
        <w:rPr>
          <w:b/>
          <w:szCs w:val="22"/>
        </w:rPr>
        <w:t xml:space="preserve">Lineamientos para el registro auxiliar sujeto a inventario de bienes arqueológicos, artísticos e históricos bajo custodia de los entes públicos </w:t>
      </w:r>
      <w:r w:rsidRPr="00927D2F">
        <w:rPr>
          <w:szCs w:val="22"/>
        </w:rPr>
        <w:t>a que hace referencia la Ley de Contabilidad, el cual se integra de la siguiente manera:</w:t>
      </w:r>
    </w:p>
    <w:p w:rsidR="00BA2E90" w:rsidRPr="00927D2F" w:rsidRDefault="00BA2E90" w:rsidP="00BA2E90">
      <w:pPr>
        <w:pStyle w:val="Texto"/>
        <w:spacing w:after="80" w:line="239" w:lineRule="exact"/>
        <w:ind w:firstLine="0"/>
        <w:jc w:val="center"/>
        <w:rPr>
          <w:b/>
          <w:smallCaps/>
          <w:szCs w:val="24"/>
        </w:rPr>
      </w:pPr>
      <w:r>
        <w:rPr>
          <w:b/>
          <w:smallCaps/>
          <w:szCs w:val="24"/>
        </w:rPr>
        <w:t>I</w:t>
      </w:r>
      <w:r w:rsidRPr="00927D2F">
        <w:rPr>
          <w:b/>
          <w:smallCaps/>
          <w:szCs w:val="24"/>
        </w:rPr>
        <w:t>NDICE</w:t>
      </w:r>
    </w:p>
    <w:p w:rsidR="00BA2E90" w:rsidRPr="00CF1648" w:rsidRDefault="00BA2E90" w:rsidP="00BA2E90">
      <w:pPr>
        <w:pStyle w:val="ROMANOS"/>
        <w:spacing w:after="80" w:line="239" w:lineRule="exact"/>
        <w:rPr>
          <w:i/>
          <w:smallCaps/>
          <w:noProof/>
        </w:rPr>
      </w:pPr>
      <w:r w:rsidRPr="00CF1648">
        <w:rPr>
          <w:i/>
          <w:noProof/>
        </w:rPr>
        <w:t>A.</w:t>
      </w:r>
      <w:r w:rsidRPr="00CF1648">
        <w:rPr>
          <w:i/>
          <w:smallCaps/>
          <w:noProof/>
        </w:rPr>
        <w:tab/>
        <w:t>Antecedentes</w:t>
      </w:r>
    </w:p>
    <w:p w:rsidR="00BA2E90" w:rsidRPr="00CF1648" w:rsidRDefault="00BA2E90" w:rsidP="00BA2E90">
      <w:pPr>
        <w:pStyle w:val="ROMANOS"/>
        <w:spacing w:after="80" w:line="239" w:lineRule="exact"/>
        <w:rPr>
          <w:i/>
          <w:smallCaps/>
          <w:noProof/>
        </w:rPr>
      </w:pPr>
      <w:r w:rsidRPr="00CF1648">
        <w:rPr>
          <w:i/>
          <w:noProof/>
        </w:rPr>
        <w:t>B.</w:t>
      </w:r>
      <w:r w:rsidRPr="00CF1648">
        <w:rPr>
          <w:i/>
          <w:smallCaps/>
          <w:noProof/>
        </w:rPr>
        <w:tab/>
        <w:t>Objetivo</w:t>
      </w:r>
    </w:p>
    <w:p w:rsidR="00BA2E90" w:rsidRPr="00CF1648" w:rsidRDefault="00BA2E90" w:rsidP="00BA2E90">
      <w:pPr>
        <w:pStyle w:val="ROMANOS"/>
        <w:spacing w:after="80" w:line="239" w:lineRule="exact"/>
        <w:rPr>
          <w:i/>
          <w:smallCaps/>
          <w:noProof/>
        </w:rPr>
      </w:pPr>
      <w:r w:rsidRPr="00CF1648">
        <w:rPr>
          <w:i/>
          <w:noProof/>
        </w:rPr>
        <w:t>C.</w:t>
      </w:r>
      <w:r w:rsidRPr="00CF1648">
        <w:rPr>
          <w:i/>
          <w:smallCaps/>
          <w:noProof/>
        </w:rPr>
        <w:tab/>
        <w:t>Definiciones</w:t>
      </w:r>
    </w:p>
    <w:p w:rsidR="00BA2E90" w:rsidRPr="00CF1648" w:rsidRDefault="00BA2E90" w:rsidP="00BA2E90">
      <w:pPr>
        <w:pStyle w:val="ROMANOS"/>
        <w:spacing w:after="80" w:line="239" w:lineRule="exact"/>
        <w:rPr>
          <w:i/>
          <w:smallCaps/>
          <w:noProof/>
        </w:rPr>
      </w:pPr>
      <w:r w:rsidRPr="00CF1648">
        <w:rPr>
          <w:i/>
          <w:noProof/>
        </w:rPr>
        <w:t>D.</w:t>
      </w:r>
      <w:r w:rsidRPr="00CF1648">
        <w:rPr>
          <w:i/>
          <w:smallCaps/>
          <w:noProof/>
        </w:rPr>
        <w:tab/>
        <w:t>Inventario fisico</w:t>
      </w:r>
    </w:p>
    <w:p w:rsidR="00BA2E90" w:rsidRPr="00CF1648" w:rsidRDefault="00BA2E90" w:rsidP="00BA2E90">
      <w:pPr>
        <w:pStyle w:val="ROMANOS"/>
        <w:spacing w:after="80" w:line="239" w:lineRule="exact"/>
        <w:rPr>
          <w:i/>
          <w:smallCaps/>
          <w:noProof/>
        </w:rPr>
      </w:pPr>
      <w:r w:rsidRPr="00CF1648">
        <w:rPr>
          <w:i/>
          <w:noProof/>
        </w:rPr>
        <w:t>E.</w:t>
      </w:r>
      <w:r w:rsidRPr="00CF1648">
        <w:rPr>
          <w:i/>
          <w:smallCaps/>
          <w:noProof/>
        </w:rPr>
        <w:tab/>
        <w:t>Clasificaci</w:t>
      </w:r>
      <w:r>
        <w:rPr>
          <w:i/>
          <w:smallCaps/>
          <w:noProof/>
        </w:rPr>
        <w:t>o</w:t>
      </w:r>
      <w:r w:rsidRPr="00CF1648">
        <w:rPr>
          <w:i/>
          <w:smallCaps/>
          <w:noProof/>
        </w:rPr>
        <w:t>n de bienes</w:t>
      </w:r>
    </w:p>
    <w:p w:rsidR="00BA2E90" w:rsidRPr="00CF1648" w:rsidRDefault="00BA2E90" w:rsidP="00BA2E90">
      <w:pPr>
        <w:pStyle w:val="Texto"/>
        <w:spacing w:after="80" w:line="239" w:lineRule="exact"/>
        <w:rPr>
          <w:i/>
          <w:smallCaps/>
          <w:noProof/>
          <w:szCs w:val="24"/>
        </w:rPr>
      </w:pPr>
      <w:r w:rsidRPr="00CF1648">
        <w:rPr>
          <w:i/>
          <w:smallCaps/>
          <w:noProof/>
          <w:szCs w:val="24"/>
        </w:rPr>
        <w:t>Anexo 1</w:t>
      </w:r>
    </w:p>
    <w:p w:rsidR="00BA2E90" w:rsidRPr="00927D2F" w:rsidRDefault="00BA2E90" w:rsidP="00BA2E90">
      <w:pPr>
        <w:pStyle w:val="Texto"/>
        <w:spacing w:line="236" w:lineRule="exact"/>
        <w:rPr>
          <w:b/>
        </w:rPr>
      </w:pPr>
      <w:r w:rsidRPr="00927D2F">
        <w:rPr>
          <w:b/>
        </w:rPr>
        <w:t>A.</w:t>
      </w:r>
      <w:r w:rsidRPr="00927D2F">
        <w:rPr>
          <w:b/>
        </w:rPr>
        <w:tab/>
        <w:t>Antecedentes</w:t>
      </w:r>
    </w:p>
    <w:p w:rsidR="00BA2E90" w:rsidRPr="00927D2F" w:rsidRDefault="00BA2E90" w:rsidP="00BA2E90">
      <w:pPr>
        <w:pStyle w:val="Texto"/>
        <w:spacing w:line="236" w:lineRule="exact"/>
        <w:rPr>
          <w:szCs w:val="22"/>
        </w:rPr>
      </w:pPr>
      <w:r w:rsidRPr="00927D2F">
        <w:rPr>
          <w:szCs w:val="22"/>
        </w:rPr>
        <w:t>La Ley General de Contabilidad Gubernamental en su Título III, Capítulo II, “Del Registro Patrimonial” artículo 23 establece los bienes muebles e inmuebles que los entes públicos registrarán en su contabilidad:</w:t>
      </w:r>
    </w:p>
    <w:p w:rsidR="00BA2E90" w:rsidRPr="00927D2F" w:rsidRDefault="00BA2E90" w:rsidP="00BA2E90">
      <w:pPr>
        <w:pStyle w:val="ROMANOS"/>
        <w:spacing w:line="236" w:lineRule="exact"/>
      </w:pPr>
      <w:r w:rsidRPr="00927D2F">
        <w:t>“I.</w:t>
      </w:r>
      <w:r w:rsidRPr="00927D2F">
        <w:tab/>
        <w:t>Los inmuebles destinados a un servicio público conforme a la normativa aplicable; excepto</w:t>
      </w:r>
      <w:r>
        <w:t xml:space="preserve"> </w:t>
      </w:r>
      <w:r w:rsidRPr="00927D2F">
        <w:t>los considerados como monumentos arqueológicos, artísticos o históricos conforme a la Ley de</w:t>
      </w:r>
      <w:r>
        <w:br/>
      </w:r>
      <w:r w:rsidRPr="00927D2F">
        <w:t>la materia;</w:t>
      </w:r>
    </w:p>
    <w:p w:rsidR="00BA2E90" w:rsidRPr="00927D2F" w:rsidRDefault="00BA2E90" w:rsidP="00BA2E90">
      <w:pPr>
        <w:pStyle w:val="ROMANOS"/>
        <w:spacing w:line="236" w:lineRule="exact"/>
      </w:pPr>
      <w:r w:rsidRPr="00927D2F">
        <w:t>II.</w:t>
      </w:r>
      <w:r w:rsidRPr="00927D2F">
        <w:tab/>
        <w:t>Mobiliario y equipo, incluido el de cómputo, vehículos y demás bienes muebles al servicio de los entes públicos, y</w:t>
      </w:r>
    </w:p>
    <w:p w:rsidR="00BA2E90" w:rsidRPr="00927D2F" w:rsidRDefault="00BA2E90" w:rsidP="00BA2E90">
      <w:pPr>
        <w:pStyle w:val="ROMANOS"/>
        <w:spacing w:line="236" w:lineRule="exact"/>
      </w:pPr>
      <w:r w:rsidRPr="00927D2F">
        <w:t>III.</w:t>
      </w:r>
      <w:r w:rsidRPr="00927D2F">
        <w:tab/>
        <w:t>Cualesquiera otros bienes muebles e inmuebles que el consejo determine que deban registrarse.”</w:t>
      </w:r>
    </w:p>
    <w:p w:rsidR="00BA2E90" w:rsidRPr="00927D2F" w:rsidRDefault="00BA2E90" w:rsidP="00BA2E90">
      <w:pPr>
        <w:pStyle w:val="Texto"/>
        <w:spacing w:line="236" w:lineRule="exact"/>
        <w:rPr>
          <w:szCs w:val="22"/>
        </w:rPr>
      </w:pPr>
      <w:r w:rsidRPr="00927D2F">
        <w:rPr>
          <w:szCs w:val="22"/>
        </w:rPr>
        <w:t>Los registros contables de los bienes a que se refiere el artículo 23, enunciado anteriormente, se realizarán en cuentas específicas del activo y deberán ser inventariados. Dicho inventario deberá estar debidamente conciliado con el registro contable. En el caso de los bienes inmuebles, no podrá establecerse un valor inferior al catastral que le corresponda. Los registros contables reflejarán, en la cuenta específica del activo que corresponda, la baja de los bienes muebles e inmuebles.</w:t>
      </w:r>
    </w:p>
    <w:p w:rsidR="00BA2E90" w:rsidRPr="00927D2F" w:rsidRDefault="00BA2E90" w:rsidP="00BA2E90">
      <w:pPr>
        <w:pStyle w:val="Texto"/>
        <w:spacing w:line="236" w:lineRule="exact"/>
        <w:rPr>
          <w:szCs w:val="22"/>
        </w:rPr>
      </w:pPr>
      <w:r w:rsidRPr="00927D2F">
        <w:rPr>
          <w:szCs w:val="22"/>
        </w:rPr>
        <w:t>Sin embargo, existen bienes que difieren, en cuanto a su naturaleza, de los anteriores y que son considerados como monumentos arqueológicos, artísticos o históricos y que se exceptúan en la fracción I del artículo 23 enunciado anteriormente.</w:t>
      </w:r>
    </w:p>
    <w:p w:rsidR="00BA2E90" w:rsidRPr="00927D2F" w:rsidRDefault="00BA2E90" w:rsidP="00BA2E90">
      <w:pPr>
        <w:pStyle w:val="Texto"/>
        <w:spacing w:line="236" w:lineRule="exact"/>
        <w:rPr>
          <w:szCs w:val="22"/>
        </w:rPr>
      </w:pPr>
      <w:r w:rsidRPr="00927D2F">
        <w:rPr>
          <w:szCs w:val="22"/>
        </w:rPr>
        <w:t xml:space="preserve">Estos bienes que por su naturaleza, son inalienables e imprescriptibles y que, por lo tanto, no se contempla la asignación de un valor cuantificado en términos monetarios y, por consiguiente, tampoco un </w:t>
      </w:r>
      <w:proofErr w:type="gramStart"/>
      <w:r w:rsidRPr="00927D2F">
        <w:rPr>
          <w:szCs w:val="22"/>
        </w:rPr>
        <w:t>registro</w:t>
      </w:r>
      <w:proofErr w:type="gramEnd"/>
      <w:r w:rsidRPr="00927D2F">
        <w:rPr>
          <w:szCs w:val="22"/>
        </w:rPr>
        <w:t xml:space="preserve"> con impacto financiero. En este sentido los entes públicos elaborarán un registro auxiliar sujeto a inventario de los bienes muebles o inmuebles bajo su custodia que cumplan con dichas características.</w:t>
      </w:r>
    </w:p>
    <w:p w:rsidR="00BA2E90" w:rsidRPr="00927D2F" w:rsidRDefault="00BA2E90" w:rsidP="00BA2E90">
      <w:pPr>
        <w:pStyle w:val="Texto"/>
        <w:spacing w:line="236" w:lineRule="exact"/>
        <w:rPr>
          <w:szCs w:val="22"/>
        </w:rPr>
      </w:pPr>
      <w:r w:rsidRPr="00927D2F">
        <w:rPr>
          <w:szCs w:val="22"/>
        </w:rPr>
        <w:t xml:space="preserve">Por lo anterior y conscientes de la importancia que revisten dichos bienes y para lograr una administración integral y responsable, se emiten los presentes </w:t>
      </w:r>
      <w:r w:rsidRPr="00927D2F">
        <w:rPr>
          <w:b/>
          <w:szCs w:val="22"/>
        </w:rPr>
        <w:t>Lineamientos para el registro auxiliar sujeto a inventario de bienes arqueológicos, artísticos e históricos bajo custodia de los entes públicos</w:t>
      </w:r>
      <w:r w:rsidRPr="00927D2F">
        <w:rPr>
          <w:szCs w:val="22"/>
        </w:rPr>
        <w:t>, los cuales tienen como finalidad establecer la obligatoriedad de registrar contablemente en cuentas de orden los bienes arqueológicos, artísticos e históricos, así como generar y mantener actualizado el inventario, propiciando su conservación, mantenimiento y salvaguarda.</w:t>
      </w:r>
    </w:p>
    <w:p w:rsidR="00BA2E90" w:rsidRPr="00927D2F" w:rsidRDefault="00BA2E90" w:rsidP="00BA2E90">
      <w:pPr>
        <w:pStyle w:val="Texto"/>
        <w:spacing w:line="236" w:lineRule="exact"/>
        <w:rPr>
          <w:b/>
        </w:rPr>
      </w:pPr>
      <w:r w:rsidRPr="00927D2F">
        <w:rPr>
          <w:b/>
        </w:rPr>
        <w:t>B.</w:t>
      </w:r>
      <w:r w:rsidRPr="00927D2F">
        <w:rPr>
          <w:b/>
        </w:rPr>
        <w:tab/>
        <w:t>Objetivo</w:t>
      </w:r>
    </w:p>
    <w:p w:rsidR="00BA2E90" w:rsidRPr="00927D2F" w:rsidRDefault="00BA2E90" w:rsidP="00BA2E90">
      <w:pPr>
        <w:pStyle w:val="Texto"/>
        <w:spacing w:line="236" w:lineRule="exact"/>
        <w:rPr>
          <w:szCs w:val="22"/>
        </w:rPr>
      </w:pPr>
      <w:r w:rsidRPr="00927D2F">
        <w:rPr>
          <w:szCs w:val="22"/>
        </w:rPr>
        <w:t>Establecer las bases para el registro contable en cuentas de orden, la valoración y control de los bienes arqueológicos, artísticos e históricos por los entes públicos, con el propósito de generar información sobre su integración que permita contar con el inventario.</w:t>
      </w:r>
    </w:p>
    <w:p w:rsidR="00BA2E90" w:rsidRPr="00927D2F" w:rsidRDefault="00BA2E90" w:rsidP="00BA2E90">
      <w:pPr>
        <w:pStyle w:val="Texto"/>
        <w:spacing w:line="236" w:lineRule="exact"/>
        <w:rPr>
          <w:b/>
        </w:rPr>
      </w:pPr>
      <w:r w:rsidRPr="00927D2F">
        <w:rPr>
          <w:b/>
        </w:rPr>
        <w:lastRenderedPageBreak/>
        <w:t>C.</w:t>
      </w:r>
      <w:r w:rsidRPr="00927D2F">
        <w:rPr>
          <w:b/>
        </w:rPr>
        <w:tab/>
        <w:t>Definiciones</w:t>
      </w:r>
    </w:p>
    <w:p w:rsidR="00BA2E90" w:rsidRPr="00927D2F" w:rsidRDefault="00BA2E90" w:rsidP="00BA2E90">
      <w:pPr>
        <w:pStyle w:val="Texto"/>
        <w:spacing w:line="236" w:lineRule="exact"/>
        <w:rPr>
          <w:szCs w:val="22"/>
        </w:rPr>
      </w:pPr>
      <w:r w:rsidRPr="00927D2F">
        <w:rPr>
          <w:szCs w:val="22"/>
        </w:rPr>
        <w:t>C.1 Bienes arqueológicos</w:t>
      </w:r>
    </w:p>
    <w:p w:rsidR="00BA2E90" w:rsidRPr="00927D2F" w:rsidRDefault="00BA2E90" w:rsidP="00BA2E90">
      <w:pPr>
        <w:pStyle w:val="Texto"/>
        <w:spacing w:line="236" w:lineRule="exact"/>
        <w:rPr>
          <w:szCs w:val="22"/>
        </w:rPr>
      </w:pPr>
      <w:r w:rsidRPr="00927D2F">
        <w:rPr>
          <w:szCs w:val="22"/>
        </w:rPr>
        <w:t>De acuerdo a lo establecido en la Ley Federal sobre Monumentos y Zonas Arqueológicos, Artísticos e Históricos, específicamente en sus artículos 28 y 28 bis son los bienes muebles e inmuebles, producto de culturas anteriores al establecimiento de la hispánica en el territorio nacional, así como los restos humanos,</w:t>
      </w:r>
      <w:r>
        <w:rPr>
          <w:szCs w:val="22"/>
        </w:rPr>
        <w:br/>
      </w:r>
      <w:r w:rsidRPr="00927D2F">
        <w:rPr>
          <w:szCs w:val="22"/>
        </w:rPr>
        <w:t>de la flora y de la fauna, relacionados con esas culturas, siendo aplicables a los vestigios o restos fósiles</w:t>
      </w:r>
      <w:r>
        <w:rPr>
          <w:szCs w:val="22"/>
        </w:rPr>
        <w:br/>
      </w:r>
      <w:r w:rsidRPr="00927D2F">
        <w:rPr>
          <w:szCs w:val="22"/>
        </w:rPr>
        <w:t>de seres orgánicos que habitaron el territorio nacional en épocas pretéritas y cuya investigación, conservación, restauración, recuperación o utilización revistan interés paleontológico, los declarados como tales por la autoridad competente en la materia.</w:t>
      </w:r>
    </w:p>
    <w:p w:rsidR="00BA2E90" w:rsidRPr="00927D2F" w:rsidRDefault="00BA2E90" w:rsidP="00BA2E90">
      <w:pPr>
        <w:pStyle w:val="Texto"/>
        <w:spacing w:line="236" w:lineRule="exact"/>
        <w:rPr>
          <w:szCs w:val="22"/>
        </w:rPr>
      </w:pPr>
      <w:r w:rsidRPr="00927D2F">
        <w:rPr>
          <w:szCs w:val="22"/>
        </w:rPr>
        <w:t>C.2 Bienes artísticos</w:t>
      </w:r>
    </w:p>
    <w:p w:rsidR="00BA2E90" w:rsidRPr="00927D2F" w:rsidRDefault="00BA2E90" w:rsidP="00BA2E90">
      <w:pPr>
        <w:pStyle w:val="Texto"/>
        <w:spacing w:line="236" w:lineRule="exact"/>
        <w:rPr>
          <w:szCs w:val="22"/>
        </w:rPr>
      </w:pPr>
      <w:r w:rsidRPr="00927D2F">
        <w:rPr>
          <w:szCs w:val="22"/>
        </w:rPr>
        <w:t>De acuerdo a lo establecido en la Ley Federal sobre Monumentos y Zonas Arqueológicos, Artísticos e Históricos, específicamente en su artículo 33 son los bienes muebles e inmuebles que revistan valor estético relevante, los declarados como tales por la autoridad competente en la materia.</w:t>
      </w:r>
    </w:p>
    <w:p w:rsidR="00BA2E90" w:rsidRPr="00927D2F" w:rsidRDefault="00BA2E90" w:rsidP="00BA2E90">
      <w:pPr>
        <w:pStyle w:val="Texto"/>
        <w:spacing w:line="236" w:lineRule="exact"/>
        <w:rPr>
          <w:szCs w:val="22"/>
        </w:rPr>
      </w:pPr>
      <w:r w:rsidRPr="00927D2F">
        <w:rPr>
          <w:szCs w:val="22"/>
        </w:rPr>
        <w:t>C.3 Bienes históricos</w:t>
      </w:r>
    </w:p>
    <w:p w:rsidR="00BA2E90" w:rsidRPr="00927D2F" w:rsidRDefault="00BA2E90" w:rsidP="00BA2E90">
      <w:pPr>
        <w:pStyle w:val="Texto"/>
        <w:spacing w:line="236" w:lineRule="exact"/>
        <w:rPr>
          <w:szCs w:val="22"/>
        </w:rPr>
      </w:pPr>
      <w:r w:rsidRPr="00927D2F">
        <w:rPr>
          <w:szCs w:val="22"/>
        </w:rPr>
        <w:t>De acuerdo a lo establecido en la Ley Federal sobre Monumentos y Zonas Arqueológicos, Artísticos e Históricos, específicamente en sus artículos 35 y 36 son los bienes vinculados con la historia de la nación,</w:t>
      </w:r>
      <w:r>
        <w:rPr>
          <w:szCs w:val="22"/>
        </w:rPr>
        <w:br/>
      </w:r>
      <w:r w:rsidRPr="00927D2F">
        <w:rPr>
          <w:szCs w:val="22"/>
        </w:rPr>
        <w:t>a partir del establecimiento de la cultura hispánica en el país, en los términos de la declaratoria respectiva o por determinación de la Ley, y son los siguientes:</w:t>
      </w:r>
    </w:p>
    <w:p w:rsidR="00BA2E90" w:rsidRPr="00927D2F" w:rsidRDefault="00BA2E90" w:rsidP="00BA2E90">
      <w:pPr>
        <w:pStyle w:val="Texto"/>
        <w:spacing w:line="220" w:lineRule="exact"/>
        <w:rPr>
          <w:szCs w:val="22"/>
        </w:rPr>
      </w:pPr>
      <w:r w:rsidRPr="00927D2F">
        <w:rPr>
          <w:szCs w:val="22"/>
        </w:rPr>
        <w:t>I.- Los inmuebles construidos en los siglos XVI al XIX, destinados a templos y sus anexos; arzobispados, obispados y casas curales; seminarios, conventos o cualesquiera otros dedicados a la administración, divulgación, enseñanza o práctica de un culto religioso; así como a la educación y a la enseñanza, a fines asistenciales o benéficos; al servicio y ornato públicos y al uso de las autoridades civiles y militares. Los muebles que se encuentren o se hayan encontrado en dichos inmuebles y las obras civiles relevantes de carácter privado realizadas de los siglos XVI al XIX inclusive.</w:t>
      </w:r>
    </w:p>
    <w:p w:rsidR="00BA2E90" w:rsidRPr="00927D2F" w:rsidRDefault="00BA2E90" w:rsidP="00BA2E90">
      <w:pPr>
        <w:pStyle w:val="Texto"/>
        <w:spacing w:line="220" w:lineRule="exact"/>
        <w:rPr>
          <w:szCs w:val="22"/>
        </w:rPr>
      </w:pPr>
      <w:r w:rsidRPr="00927D2F">
        <w:rPr>
          <w:szCs w:val="22"/>
        </w:rPr>
        <w:t>II.- Los documentos y expedientes que pertenezcan o hayan pertenecido a las oficinas y archivos de la Federación, de los Estados o de los Municipios y de las casas curiales.</w:t>
      </w:r>
    </w:p>
    <w:p w:rsidR="00BA2E90" w:rsidRPr="00927D2F" w:rsidRDefault="00BA2E90" w:rsidP="00BA2E90">
      <w:pPr>
        <w:pStyle w:val="Texto"/>
        <w:spacing w:line="220" w:lineRule="exact"/>
        <w:rPr>
          <w:szCs w:val="22"/>
        </w:rPr>
      </w:pPr>
      <w:r w:rsidRPr="00927D2F">
        <w:rPr>
          <w:szCs w:val="22"/>
        </w:rPr>
        <w:t>III.- Los documentos originales manuscritos relacionados con la historia de México y los libros, folletos y otros impresos en México o en el extranjero, durante los siglos XVI al XIX que por su rareza e importancia para la historia mexicana, merezcan ser conservados en el país.</w:t>
      </w:r>
    </w:p>
    <w:p w:rsidR="00BA2E90" w:rsidRPr="00927D2F" w:rsidRDefault="00BA2E90" w:rsidP="00BA2E90">
      <w:pPr>
        <w:pStyle w:val="Texto"/>
        <w:spacing w:line="220" w:lineRule="exact"/>
        <w:rPr>
          <w:szCs w:val="22"/>
        </w:rPr>
      </w:pPr>
      <w:r w:rsidRPr="00927D2F">
        <w:rPr>
          <w:szCs w:val="22"/>
        </w:rPr>
        <w:t>IV.- Las colecciones científicas y técnicas podrán elevarse a esta categoría, mediante la declaratoria correspondiente.</w:t>
      </w:r>
    </w:p>
    <w:p w:rsidR="00BA2E90" w:rsidRPr="00927D2F" w:rsidRDefault="00BA2E90" w:rsidP="00BA2E90">
      <w:pPr>
        <w:pStyle w:val="Texto"/>
        <w:spacing w:line="220" w:lineRule="exact"/>
        <w:rPr>
          <w:szCs w:val="22"/>
        </w:rPr>
      </w:pPr>
      <w:r w:rsidRPr="00927D2F">
        <w:rPr>
          <w:szCs w:val="22"/>
        </w:rPr>
        <w:t>C.4 Valor simbólico</w:t>
      </w:r>
    </w:p>
    <w:p w:rsidR="00BA2E90" w:rsidRPr="00927D2F" w:rsidRDefault="00BA2E90" w:rsidP="00BA2E90">
      <w:pPr>
        <w:pStyle w:val="Texto"/>
        <w:spacing w:line="220" w:lineRule="exact"/>
        <w:rPr>
          <w:szCs w:val="22"/>
        </w:rPr>
      </w:pPr>
      <w:r w:rsidRPr="00927D2F">
        <w:rPr>
          <w:szCs w:val="22"/>
        </w:rPr>
        <w:t>Es aquél que se asigna únicamente a los arqueológicos, artísticos e históricos con el valor de una unidad monetaria (un peso) que por sus características no son posibles de cuantificar, excepto en los casos que el ente público los valúe sobre la misma base de los bienes muebles e inmuebles, sin que esto afecte la diferenciación a que se refiere la fracción I del artículo 23 de la LGCG.</w:t>
      </w:r>
    </w:p>
    <w:p w:rsidR="00BA2E90" w:rsidRPr="00927D2F" w:rsidRDefault="00BA2E90" w:rsidP="00BA2E90">
      <w:pPr>
        <w:pStyle w:val="Texto"/>
        <w:spacing w:line="220" w:lineRule="exact"/>
        <w:rPr>
          <w:b/>
        </w:rPr>
      </w:pPr>
      <w:r w:rsidRPr="00927D2F">
        <w:rPr>
          <w:b/>
        </w:rPr>
        <w:t>D.</w:t>
      </w:r>
      <w:r w:rsidRPr="00927D2F">
        <w:rPr>
          <w:b/>
        </w:rPr>
        <w:tab/>
        <w:t>Inventario Físico</w:t>
      </w:r>
    </w:p>
    <w:p w:rsidR="00BA2E90" w:rsidRPr="00927D2F" w:rsidRDefault="00BA2E90" w:rsidP="00BA2E90">
      <w:pPr>
        <w:pStyle w:val="Texto"/>
        <w:spacing w:line="220" w:lineRule="exact"/>
        <w:rPr>
          <w:szCs w:val="22"/>
        </w:rPr>
      </w:pPr>
      <w:r w:rsidRPr="00927D2F">
        <w:rPr>
          <w:szCs w:val="22"/>
        </w:rPr>
        <w:t xml:space="preserve">De conformidad a las Reglas Específicas del Registro y Valoración del Patrimonio publicadas en el Diario Oficial de la Federación el 13 de diciembre de </w:t>
      </w:r>
      <w:proofErr w:type="gramStart"/>
      <w:r w:rsidRPr="00927D2F">
        <w:rPr>
          <w:szCs w:val="22"/>
        </w:rPr>
        <w:t>2011 ”</w:t>
      </w:r>
      <w:proofErr w:type="gramEnd"/>
      <w:r w:rsidRPr="00927D2F">
        <w:rPr>
          <w:szCs w:val="22"/>
        </w:rPr>
        <w:t>Es la verificación periódica de las existencias con que cuentan los entes públicos y deben llevar a cabo una práctica de inventarios físicos por lo menos una vez al año y básicamente al cierre del ejercicio.”</w:t>
      </w:r>
    </w:p>
    <w:p w:rsidR="00BA2E90" w:rsidRPr="00927D2F" w:rsidRDefault="00BA2E90" w:rsidP="00BA2E90">
      <w:pPr>
        <w:pStyle w:val="Texto"/>
        <w:spacing w:line="220" w:lineRule="exact"/>
        <w:rPr>
          <w:szCs w:val="22"/>
        </w:rPr>
      </w:pPr>
      <w:r w:rsidRPr="00927D2F">
        <w:rPr>
          <w:szCs w:val="22"/>
        </w:rPr>
        <w:t>A fin de llevar a cabo el registro contable en cuentas de orden es responsabilidad de los entes públicos contar con inventarios físicos actualizados conforme a la clasificación de los bienes.</w:t>
      </w:r>
    </w:p>
    <w:p w:rsidR="00BA2E90" w:rsidRPr="00927D2F" w:rsidRDefault="00BA2E90" w:rsidP="00BA2E90">
      <w:pPr>
        <w:pStyle w:val="Texto"/>
        <w:spacing w:line="220" w:lineRule="exact"/>
        <w:rPr>
          <w:szCs w:val="22"/>
        </w:rPr>
      </w:pPr>
      <w:r w:rsidRPr="00927D2F">
        <w:rPr>
          <w:szCs w:val="22"/>
        </w:rPr>
        <w:t>El resultado del inventario físico deberá coincidir con los saldos del auxiliar contable en cuentas de orden a valor simbólico de bienes arqueológicos, artísticos e históricos; y servir de base para integrar el Libro de Inventario y Balances.</w:t>
      </w:r>
    </w:p>
    <w:p w:rsidR="00BA2E90" w:rsidRPr="00927D2F" w:rsidRDefault="00BA2E90" w:rsidP="00BA2E90">
      <w:pPr>
        <w:pStyle w:val="Texto"/>
        <w:spacing w:line="220" w:lineRule="exact"/>
        <w:rPr>
          <w:b/>
        </w:rPr>
      </w:pPr>
      <w:r w:rsidRPr="00927D2F">
        <w:rPr>
          <w:b/>
        </w:rPr>
        <w:t>E.</w:t>
      </w:r>
      <w:r w:rsidRPr="00927D2F">
        <w:rPr>
          <w:b/>
        </w:rPr>
        <w:tab/>
        <w:t>Clasificación de bienes</w:t>
      </w:r>
    </w:p>
    <w:p w:rsidR="00BA2E90" w:rsidRPr="00927D2F" w:rsidRDefault="00BA2E90" w:rsidP="00BA2E90">
      <w:pPr>
        <w:pStyle w:val="Texto"/>
        <w:spacing w:line="220" w:lineRule="exact"/>
        <w:rPr>
          <w:szCs w:val="22"/>
        </w:rPr>
      </w:pPr>
      <w:r w:rsidRPr="00927D2F">
        <w:rPr>
          <w:szCs w:val="22"/>
        </w:rPr>
        <w:t>Se llevará un control por tipo de bien en cuentas de orden para su seguimiento. Las cuentas de orden mencionadas serán de aplicación obligatoria para los entes públicos. También se deberá elaborar el auxiliar sujeto a inventario de bienes arqueológicos, artísticos e históricos bajo custodia de los entes públicos, que contenga como mínimo los datos que se presentan como Anexo I:</w:t>
      </w:r>
    </w:p>
    <w:p w:rsidR="00BA2E90" w:rsidRPr="00927D2F" w:rsidRDefault="00BA2E90" w:rsidP="00BA2E90">
      <w:pPr>
        <w:pStyle w:val="Texto"/>
        <w:spacing w:line="220" w:lineRule="exact"/>
        <w:rPr>
          <w:szCs w:val="22"/>
        </w:rPr>
      </w:pPr>
      <w:r w:rsidRPr="00927D2F">
        <w:rPr>
          <w:szCs w:val="22"/>
        </w:rPr>
        <w:lastRenderedPageBreak/>
        <w:t>Con el propósito de identificar por tipo los bienes arqueológicos, artísticos e históricos en materia contable, se han clasificado en tres grupos con las siguientes cuentas de orden:</w:t>
      </w:r>
    </w:p>
    <w:tbl>
      <w:tblPr>
        <w:tblW w:w="7234" w:type="dxa"/>
        <w:jc w:val="center"/>
        <w:tblCellMar>
          <w:left w:w="72" w:type="dxa"/>
          <w:right w:w="72" w:type="dxa"/>
        </w:tblCellMar>
        <w:tblLook w:val="0000"/>
      </w:tblPr>
      <w:tblGrid>
        <w:gridCol w:w="2815"/>
        <w:gridCol w:w="4419"/>
      </w:tblGrid>
      <w:tr w:rsidR="00BA2E90" w:rsidRPr="00BA2E90" w:rsidTr="00604C11">
        <w:trPr>
          <w:cantSplit/>
          <w:trHeight w:val="20"/>
          <w:jc w:val="center"/>
        </w:trPr>
        <w:tc>
          <w:tcPr>
            <w:tcW w:w="7234" w:type="dxa"/>
            <w:gridSpan w:val="2"/>
            <w:tcBorders>
              <w:top w:val="single" w:sz="6" w:space="0" w:color="auto"/>
              <w:left w:val="single" w:sz="6" w:space="0" w:color="auto"/>
              <w:bottom w:val="single" w:sz="6" w:space="0" w:color="auto"/>
              <w:right w:val="single" w:sz="6" w:space="0" w:color="auto"/>
            </w:tcBorders>
            <w:noWrap/>
            <w:vAlign w:val="center"/>
          </w:tcPr>
          <w:p w:rsidR="00BA2E90" w:rsidRPr="00BA2E90" w:rsidRDefault="00BA2E90" w:rsidP="00604C11">
            <w:pPr>
              <w:pStyle w:val="Texto"/>
              <w:spacing w:line="220" w:lineRule="exact"/>
              <w:ind w:firstLine="0"/>
              <w:jc w:val="center"/>
              <w:rPr>
                <w:rFonts w:cs="Arial"/>
                <w:b/>
                <w:lang w:val="es-MX"/>
              </w:rPr>
            </w:pPr>
            <w:r w:rsidRPr="00BA2E90">
              <w:rPr>
                <w:rFonts w:cs="Arial"/>
                <w:b/>
                <w:lang w:val="es-MX"/>
              </w:rPr>
              <w:t>CLASIFICACION DE BIENES</w:t>
            </w:r>
          </w:p>
        </w:tc>
      </w:tr>
      <w:tr w:rsidR="00BA2E90" w:rsidRPr="00BA2E90" w:rsidTr="00604C11">
        <w:trPr>
          <w:cantSplit/>
          <w:trHeight w:val="20"/>
          <w:jc w:val="center"/>
        </w:trPr>
        <w:tc>
          <w:tcPr>
            <w:tcW w:w="2815" w:type="dxa"/>
            <w:tcBorders>
              <w:top w:val="single" w:sz="6" w:space="0" w:color="auto"/>
              <w:left w:val="single" w:sz="6" w:space="0" w:color="auto"/>
              <w:bottom w:val="single" w:sz="6" w:space="0" w:color="auto"/>
              <w:right w:val="single" w:sz="6" w:space="0" w:color="auto"/>
            </w:tcBorders>
            <w:vAlign w:val="center"/>
          </w:tcPr>
          <w:p w:rsidR="00BA2E90" w:rsidRPr="00BA2E90" w:rsidRDefault="00BA2E90" w:rsidP="00604C11">
            <w:pPr>
              <w:pStyle w:val="Texto"/>
              <w:spacing w:line="220" w:lineRule="exact"/>
              <w:ind w:firstLine="0"/>
              <w:jc w:val="center"/>
              <w:rPr>
                <w:rFonts w:cs="Arial"/>
                <w:b/>
                <w:lang w:val="es-MX"/>
              </w:rPr>
            </w:pPr>
            <w:r w:rsidRPr="00BA2E90">
              <w:rPr>
                <w:rFonts w:cs="Arial"/>
                <w:b/>
                <w:lang w:val="es-MX"/>
              </w:rPr>
              <w:t>Tipo de Bien</w:t>
            </w:r>
          </w:p>
        </w:tc>
        <w:tc>
          <w:tcPr>
            <w:tcW w:w="4419" w:type="dxa"/>
            <w:tcBorders>
              <w:top w:val="single" w:sz="6" w:space="0" w:color="auto"/>
              <w:left w:val="single" w:sz="6" w:space="0" w:color="auto"/>
              <w:bottom w:val="single" w:sz="6" w:space="0" w:color="auto"/>
              <w:right w:val="single" w:sz="6" w:space="0" w:color="auto"/>
            </w:tcBorders>
            <w:vAlign w:val="center"/>
          </w:tcPr>
          <w:p w:rsidR="00BA2E90" w:rsidRPr="00BA2E90" w:rsidRDefault="00BA2E90" w:rsidP="00604C11">
            <w:pPr>
              <w:pStyle w:val="Texto"/>
              <w:spacing w:line="220" w:lineRule="exact"/>
              <w:ind w:firstLine="0"/>
              <w:jc w:val="center"/>
              <w:rPr>
                <w:rFonts w:cs="Arial"/>
                <w:b/>
                <w:lang w:val="es-MX"/>
              </w:rPr>
            </w:pPr>
            <w:r w:rsidRPr="00BA2E90">
              <w:rPr>
                <w:rFonts w:cs="Arial"/>
                <w:b/>
                <w:lang w:val="es-MX"/>
              </w:rPr>
              <w:t>Clasificación</w:t>
            </w:r>
          </w:p>
        </w:tc>
      </w:tr>
      <w:tr w:rsidR="00BA2E90" w:rsidRPr="00BA2E90" w:rsidTr="00604C11">
        <w:trPr>
          <w:cantSplit/>
          <w:trHeight w:val="20"/>
          <w:jc w:val="center"/>
        </w:trPr>
        <w:tc>
          <w:tcPr>
            <w:tcW w:w="2815" w:type="dxa"/>
            <w:vMerge w:val="restart"/>
            <w:tcBorders>
              <w:top w:val="single" w:sz="6" w:space="0" w:color="auto"/>
              <w:left w:val="single" w:sz="6" w:space="0" w:color="auto"/>
              <w:right w:val="single" w:sz="6" w:space="0" w:color="auto"/>
            </w:tcBorders>
            <w:vAlign w:val="center"/>
          </w:tcPr>
          <w:p w:rsidR="00BA2E90" w:rsidRPr="00BA2E90" w:rsidRDefault="00BA2E90" w:rsidP="00604C11">
            <w:pPr>
              <w:pStyle w:val="Texto"/>
              <w:spacing w:line="220" w:lineRule="exact"/>
              <w:ind w:firstLine="0"/>
              <w:rPr>
                <w:rFonts w:cs="Arial"/>
                <w:lang w:val="es-MX"/>
              </w:rPr>
            </w:pPr>
            <w:r w:rsidRPr="00BA2E90">
              <w:rPr>
                <w:rFonts w:cs="Arial"/>
                <w:lang w:val="es-MX"/>
              </w:rPr>
              <w:t>1. Arqueológicos</w:t>
            </w:r>
          </w:p>
        </w:tc>
        <w:tc>
          <w:tcPr>
            <w:tcW w:w="4419" w:type="dxa"/>
            <w:tcBorders>
              <w:top w:val="single" w:sz="6" w:space="0" w:color="auto"/>
              <w:left w:val="single" w:sz="6" w:space="0" w:color="auto"/>
              <w:bottom w:val="single" w:sz="6" w:space="0" w:color="auto"/>
              <w:right w:val="single" w:sz="6" w:space="0" w:color="auto"/>
            </w:tcBorders>
            <w:vAlign w:val="center"/>
          </w:tcPr>
          <w:p w:rsidR="00BA2E90" w:rsidRPr="00BA2E90" w:rsidRDefault="00BA2E90" w:rsidP="00604C11">
            <w:pPr>
              <w:pStyle w:val="Texto"/>
              <w:spacing w:line="220" w:lineRule="exact"/>
              <w:ind w:firstLine="0"/>
              <w:rPr>
                <w:rFonts w:cs="Arial"/>
                <w:lang w:val="es-MX"/>
              </w:rPr>
            </w:pPr>
            <w:r w:rsidRPr="00BA2E90">
              <w:rPr>
                <w:rFonts w:cs="Arial"/>
                <w:lang w:val="es-MX"/>
              </w:rPr>
              <w:t>1. Bienes Muebles</w:t>
            </w:r>
          </w:p>
        </w:tc>
      </w:tr>
      <w:tr w:rsidR="00BA2E90" w:rsidRPr="00BA2E90" w:rsidTr="00604C11">
        <w:trPr>
          <w:cantSplit/>
          <w:trHeight w:val="20"/>
          <w:jc w:val="center"/>
        </w:trPr>
        <w:tc>
          <w:tcPr>
            <w:tcW w:w="2815" w:type="dxa"/>
            <w:vMerge/>
            <w:tcBorders>
              <w:left w:val="single" w:sz="6" w:space="0" w:color="auto"/>
              <w:right w:val="single" w:sz="6" w:space="0" w:color="auto"/>
            </w:tcBorders>
            <w:vAlign w:val="center"/>
          </w:tcPr>
          <w:p w:rsidR="00BA2E90" w:rsidRPr="00BA2E90" w:rsidRDefault="00BA2E90" w:rsidP="00604C11">
            <w:pPr>
              <w:pStyle w:val="Texto"/>
              <w:spacing w:line="220" w:lineRule="exact"/>
              <w:ind w:firstLine="0"/>
              <w:rPr>
                <w:rFonts w:cs="Arial"/>
                <w:lang w:val="es-MX"/>
              </w:rPr>
            </w:pPr>
          </w:p>
        </w:tc>
        <w:tc>
          <w:tcPr>
            <w:tcW w:w="4419" w:type="dxa"/>
            <w:tcBorders>
              <w:top w:val="single" w:sz="6" w:space="0" w:color="auto"/>
              <w:left w:val="single" w:sz="6" w:space="0" w:color="auto"/>
              <w:bottom w:val="single" w:sz="6" w:space="0" w:color="auto"/>
              <w:right w:val="single" w:sz="6" w:space="0" w:color="auto"/>
            </w:tcBorders>
            <w:vAlign w:val="center"/>
          </w:tcPr>
          <w:p w:rsidR="00BA2E90" w:rsidRPr="00BA2E90" w:rsidRDefault="00BA2E90" w:rsidP="00604C11">
            <w:pPr>
              <w:pStyle w:val="Texto"/>
              <w:spacing w:line="220" w:lineRule="exact"/>
              <w:ind w:firstLine="0"/>
              <w:rPr>
                <w:rFonts w:cs="Arial"/>
                <w:lang w:val="es-MX"/>
              </w:rPr>
            </w:pPr>
            <w:r w:rsidRPr="00BA2E90">
              <w:rPr>
                <w:rFonts w:cs="Arial"/>
                <w:lang w:val="es-MX"/>
              </w:rPr>
              <w:t>2. Bienes Inmuebles</w:t>
            </w:r>
          </w:p>
        </w:tc>
      </w:tr>
      <w:tr w:rsidR="00BA2E90" w:rsidRPr="00BA2E90" w:rsidTr="00604C11">
        <w:trPr>
          <w:cantSplit/>
          <w:trHeight w:val="20"/>
          <w:jc w:val="center"/>
        </w:trPr>
        <w:tc>
          <w:tcPr>
            <w:tcW w:w="2815" w:type="dxa"/>
            <w:vMerge/>
            <w:tcBorders>
              <w:left w:val="single" w:sz="6" w:space="0" w:color="auto"/>
              <w:bottom w:val="single" w:sz="6" w:space="0" w:color="auto"/>
              <w:right w:val="single" w:sz="6" w:space="0" w:color="auto"/>
            </w:tcBorders>
            <w:vAlign w:val="center"/>
          </w:tcPr>
          <w:p w:rsidR="00BA2E90" w:rsidRPr="00BA2E90" w:rsidRDefault="00BA2E90" w:rsidP="00604C11">
            <w:pPr>
              <w:pStyle w:val="Texto"/>
              <w:spacing w:line="220" w:lineRule="exact"/>
              <w:ind w:firstLine="0"/>
              <w:rPr>
                <w:rFonts w:cs="Arial"/>
                <w:lang w:val="es-MX"/>
              </w:rPr>
            </w:pPr>
          </w:p>
        </w:tc>
        <w:tc>
          <w:tcPr>
            <w:tcW w:w="4419" w:type="dxa"/>
            <w:tcBorders>
              <w:top w:val="single" w:sz="6" w:space="0" w:color="auto"/>
              <w:left w:val="single" w:sz="6" w:space="0" w:color="auto"/>
              <w:bottom w:val="single" w:sz="6" w:space="0" w:color="auto"/>
              <w:right w:val="single" w:sz="6" w:space="0" w:color="auto"/>
            </w:tcBorders>
            <w:vAlign w:val="center"/>
          </w:tcPr>
          <w:p w:rsidR="00BA2E90" w:rsidRPr="00BA2E90" w:rsidRDefault="00BA2E90" w:rsidP="00604C11">
            <w:pPr>
              <w:pStyle w:val="Texto"/>
              <w:spacing w:line="220" w:lineRule="exact"/>
              <w:ind w:firstLine="0"/>
              <w:rPr>
                <w:rFonts w:cs="Arial"/>
                <w:lang w:val="es-MX"/>
              </w:rPr>
            </w:pPr>
            <w:r w:rsidRPr="00BA2E90">
              <w:rPr>
                <w:rFonts w:cs="Arial"/>
                <w:lang w:val="es-MX"/>
              </w:rPr>
              <w:t>3. Restos Humanos, de la flora y de la fauna</w:t>
            </w:r>
          </w:p>
        </w:tc>
      </w:tr>
      <w:tr w:rsidR="00BA2E90" w:rsidRPr="00BA2E90" w:rsidTr="00604C11">
        <w:trPr>
          <w:cantSplit/>
          <w:trHeight w:val="20"/>
          <w:jc w:val="center"/>
        </w:trPr>
        <w:tc>
          <w:tcPr>
            <w:tcW w:w="2815" w:type="dxa"/>
            <w:vMerge w:val="restart"/>
            <w:tcBorders>
              <w:top w:val="single" w:sz="6" w:space="0" w:color="auto"/>
              <w:left w:val="single" w:sz="6" w:space="0" w:color="auto"/>
              <w:right w:val="single" w:sz="6" w:space="0" w:color="auto"/>
            </w:tcBorders>
            <w:vAlign w:val="center"/>
          </w:tcPr>
          <w:p w:rsidR="00BA2E90" w:rsidRPr="00BA2E90" w:rsidRDefault="00BA2E90" w:rsidP="00604C11">
            <w:pPr>
              <w:pStyle w:val="Texto"/>
              <w:spacing w:line="220" w:lineRule="exact"/>
              <w:ind w:firstLine="0"/>
              <w:rPr>
                <w:rFonts w:cs="Arial"/>
                <w:lang w:val="es-MX"/>
              </w:rPr>
            </w:pPr>
            <w:r w:rsidRPr="00BA2E90">
              <w:rPr>
                <w:rFonts w:cs="Arial"/>
                <w:lang w:val="es-MX"/>
              </w:rPr>
              <w:t>2. Artísticos</w:t>
            </w:r>
          </w:p>
        </w:tc>
        <w:tc>
          <w:tcPr>
            <w:tcW w:w="4419" w:type="dxa"/>
            <w:tcBorders>
              <w:top w:val="single" w:sz="6" w:space="0" w:color="auto"/>
              <w:left w:val="single" w:sz="6" w:space="0" w:color="auto"/>
              <w:bottom w:val="single" w:sz="6" w:space="0" w:color="auto"/>
              <w:right w:val="single" w:sz="6" w:space="0" w:color="auto"/>
            </w:tcBorders>
            <w:vAlign w:val="center"/>
          </w:tcPr>
          <w:p w:rsidR="00BA2E90" w:rsidRPr="00BA2E90" w:rsidRDefault="00BA2E90" w:rsidP="00604C11">
            <w:pPr>
              <w:pStyle w:val="Texto"/>
              <w:spacing w:line="220" w:lineRule="exact"/>
              <w:ind w:firstLine="0"/>
              <w:rPr>
                <w:rFonts w:cs="Arial"/>
                <w:lang w:val="es-MX"/>
              </w:rPr>
            </w:pPr>
            <w:r w:rsidRPr="00BA2E90">
              <w:rPr>
                <w:rFonts w:cs="Arial"/>
                <w:lang w:val="es-MX"/>
              </w:rPr>
              <w:t xml:space="preserve">1. Bienes Muebles </w:t>
            </w:r>
          </w:p>
        </w:tc>
      </w:tr>
      <w:tr w:rsidR="00BA2E90" w:rsidRPr="00BA2E90" w:rsidTr="00604C11">
        <w:trPr>
          <w:cantSplit/>
          <w:trHeight w:val="20"/>
          <w:jc w:val="center"/>
        </w:trPr>
        <w:tc>
          <w:tcPr>
            <w:tcW w:w="2815" w:type="dxa"/>
            <w:vMerge/>
            <w:tcBorders>
              <w:left w:val="single" w:sz="6" w:space="0" w:color="auto"/>
              <w:bottom w:val="single" w:sz="6" w:space="0" w:color="auto"/>
              <w:right w:val="single" w:sz="6" w:space="0" w:color="auto"/>
            </w:tcBorders>
            <w:vAlign w:val="center"/>
          </w:tcPr>
          <w:p w:rsidR="00BA2E90" w:rsidRPr="00BA2E90" w:rsidRDefault="00BA2E90" w:rsidP="00604C11">
            <w:pPr>
              <w:pStyle w:val="Texto"/>
              <w:spacing w:line="220" w:lineRule="exact"/>
              <w:ind w:firstLine="0"/>
              <w:rPr>
                <w:rFonts w:cs="Arial"/>
                <w:lang w:val="es-MX"/>
              </w:rPr>
            </w:pPr>
          </w:p>
        </w:tc>
        <w:tc>
          <w:tcPr>
            <w:tcW w:w="4419" w:type="dxa"/>
            <w:tcBorders>
              <w:top w:val="single" w:sz="6" w:space="0" w:color="auto"/>
              <w:left w:val="single" w:sz="6" w:space="0" w:color="auto"/>
              <w:bottom w:val="single" w:sz="6" w:space="0" w:color="auto"/>
              <w:right w:val="single" w:sz="6" w:space="0" w:color="auto"/>
            </w:tcBorders>
            <w:vAlign w:val="center"/>
          </w:tcPr>
          <w:p w:rsidR="00BA2E90" w:rsidRPr="00BA2E90" w:rsidRDefault="00BA2E90" w:rsidP="00604C11">
            <w:pPr>
              <w:pStyle w:val="Texto"/>
              <w:spacing w:line="220" w:lineRule="exact"/>
              <w:ind w:firstLine="0"/>
              <w:rPr>
                <w:rFonts w:cs="Arial"/>
                <w:lang w:val="es-MX"/>
              </w:rPr>
            </w:pPr>
            <w:r w:rsidRPr="00BA2E90">
              <w:rPr>
                <w:rFonts w:cs="Arial"/>
                <w:lang w:val="es-MX"/>
              </w:rPr>
              <w:t>2. Bienes Inmuebles</w:t>
            </w:r>
          </w:p>
        </w:tc>
      </w:tr>
      <w:tr w:rsidR="00BA2E90" w:rsidRPr="00BA2E90" w:rsidTr="00604C11">
        <w:trPr>
          <w:cantSplit/>
          <w:trHeight w:val="20"/>
          <w:jc w:val="center"/>
        </w:trPr>
        <w:tc>
          <w:tcPr>
            <w:tcW w:w="2815" w:type="dxa"/>
            <w:vMerge w:val="restart"/>
            <w:tcBorders>
              <w:top w:val="single" w:sz="6" w:space="0" w:color="auto"/>
              <w:left w:val="single" w:sz="6" w:space="0" w:color="auto"/>
              <w:right w:val="single" w:sz="6" w:space="0" w:color="auto"/>
            </w:tcBorders>
            <w:vAlign w:val="center"/>
          </w:tcPr>
          <w:p w:rsidR="00BA2E90" w:rsidRPr="00BA2E90" w:rsidRDefault="00BA2E90" w:rsidP="00604C11">
            <w:pPr>
              <w:pStyle w:val="Texto"/>
              <w:spacing w:line="220" w:lineRule="exact"/>
              <w:ind w:firstLine="0"/>
              <w:rPr>
                <w:rFonts w:cs="Arial"/>
                <w:lang w:val="es-MX"/>
              </w:rPr>
            </w:pPr>
            <w:r w:rsidRPr="00BA2E90">
              <w:rPr>
                <w:rFonts w:cs="Arial"/>
                <w:lang w:val="es-MX"/>
              </w:rPr>
              <w:t>3. Históricos</w:t>
            </w:r>
          </w:p>
        </w:tc>
        <w:tc>
          <w:tcPr>
            <w:tcW w:w="4419" w:type="dxa"/>
            <w:tcBorders>
              <w:top w:val="single" w:sz="6" w:space="0" w:color="auto"/>
              <w:left w:val="single" w:sz="6" w:space="0" w:color="auto"/>
              <w:bottom w:val="single" w:sz="6" w:space="0" w:color="auto"/>
              <w:right w:val="single" w:sz="6" w:space="0" w:color="auto"/>
            </w:tcBorders>
            <w:vAlign w:val="center"/>
          </w:tcPr>
          <w:p w:rsidR="00BA2E90" w:rsidRPr="00BA2E90" w:rsidRDefault="00BA2E90" w:rsidP="00604C11">
            <w:pPr>
              <w:pStyle w:val="Texto"/>
              <w:spacing w:line="220" w:lineRule="exact"/>
              <w:ind w:firstLine="0"/>
              <w:rPr>
                <w:rFonts w:cs="Arial"/>
                <w:lang w:val="es-MX"/>
              </w:rPr>
            </w:pPr>
            <w:r w:rsidRPr="00BA2E90">
              <w:rPr>
                <w:rFonts w:cs="Arial"/>
                <w:lang w:val="es-MX"/>
              </w:rPr>
              <w:t xml:space="preserve">1. Bienes Muebles </w:t>
            </w:r>
          </w:p>
        </w:tc>
      </w:tr>
      <w:tr w:rsidR="00BA2E90" w:rsidRPr="00BA2E90" w:rsidTr="00604C11">
        <w:trPr>
          <w:cantSplit/>
          <w:trHeight w:val="20"/>
          <w:jc w:val="center"/>
        </w:trPr>
        <w:tc>
          <w:tcPr>
            <w:tcW w:w="2815" w:type="dxa"/>
            <w:vMerge/>
            <w:tcBorders>
              <w:left w:val="single" w:sz="6" w:space="0" w:color="auto"/>
              <w:right w:val="single" w:sz="6" w:space="0" w:color="auto"/>
            </w:tcBorders>
            <w:vAlign w:val="center"/>
          </w:tcPr>
          <w:p w:rsidR="00BA2E90" w:rsidRPr="00BA2E90" w:rsidRDefault="00BA2E90" w:rsidP="00604C11">
            <w:pPr>
              <w:pStyle w:val="Texto"/>
              <w:spacing w:line="220" w:lineRule="exact"/>
              <w:ind w:firstLine="0"/>
              <w:rPr>
                <w:rFonts w:cs="Arial"/>
                <w:lang w:val="es-MX"/>
              </w:rPr>
            </w:pPr>
          </w:p>
        </w:tc>
        <w:tc>
          <w:tcPr>
            <w:tcW w:w="4419" w:type="dxa"/>
            <w:tcBorders>
              <w:top w:val="single" w:sz="6" w:space="0" w:color="auto"/>
              <w:left w:val="single" w:sz="6" w:space="0" w:color="auto"/>
              <w:bottom w:val="single" w:sz="6" w:space="0" w:color="auto"/>
              <w:right w:val="single" w:sz="6" w:space="0" w:color="auto"/>
            </w:tcBorders>
            <w:vAlign w:val="center"/>
          </w:tcPr>
          <w:p w:rsidR="00BA2E90" w:rsidRPr="00BA2E90" w:rsidRDefault="00BA2E90" w:rsidP="00604C11">
            <w:pPr>
              <w:pStyle w:val="Texto"/>
              <w:spacing w:line="220" w:lineRule="exact"/>
              <w:ind w:firstLine="0"/>
              <w:rPr>
                <w:rFonts w:cs="Arial"/>
                <w:lang w:val="es-MX"/>
              </w:rPr>
            </w:pPr>
            <w:r w:rsidRPr="00BA2E90">
              <w:rPr>
                <w:rFonts w:cs="Arial"/>
                <w:lang w:val="es-MX"/>
              </w:rPr>
              <w:t>2. Bienes Inmuebles</w:t>
            </w:r>
          </w:p>
        </w:tc>
      </w:tr>
      <w:tr w:rsidR="00BA2E90" w:rsidRPr="00BA2E90" w:rsidTr="00604C11">
        <w:trPr>
          <w:cantSplit/>
          <w:trHeight w:val="20"/>
          <w:jc w:val="center"/>
        </w:trPr>
        <w:tc>
          <w:tcPr>
            <w:tcW w:w="2815" w:type="dxa"/>
            <w:vMerge/>
            <w:tcBorders>
              <w:left w:val="single" w:sz="6" w:space="0" w:color="auto"/>
              <w:right w:val="single" w:sz="6" w:space="0" w:color="auto"/>
            </w:tcBorders>
            <w:vAlign w:val="center"/>
          </w:tcPr>
          <w:p w:rsidR="00BA2E90" w:rsidRPr="00BA2E90" w:rsidRDefault="00BA2E90" w:rsidP="00604C11">
            <w:pPr>
              <w:pStyle w:val="Texto"/>
              <w:spacing w:line="220" w:lineRule="exact"/>
              <w:ind w:firstLine="0"/>
              <w:rPr>
                <w:rFonts w:cs="Arial"/>
                <w:lang w:val="es-MX"/>
              </w:rPr>
            </w:pPr>
          </w:p>
        </w:tc>
        <w:tc>
          <w:tcPr>
            <w:tcW w:w="4419" w:type="dxa"/>
            <w:tcBorders>
              <w:top w:val="single" w:sz="6" w:space="0" w:color="auto"/>
              <w:left w:val="single" w:sz="6" w:space="0" w:color="auto"/>
              <w:bottom w:val="single" w:sz="6" w:space="0" w:color="auto"/>
              <w:right w:val="single" w:sz="6" w:space="0" w:color="auto"/>
            </w:tcBorders>
            <w:vAlign w:val="center"/>
          </w:tcPr>
          <w:p w:rsidR="00BA2E90" w:rsidRPr="00BA2E90" w:rsidRDefault="00BA2E90" w:rsidP="00604C11">
            <w:pPr>
              <w:pStyle w:val="Texto"/>
              <w:spacing w:line="220" w:lineRule="exact"/>
              <w:ind w:firstLine="0"/>
              <w:rPr>
                <w:rFonts w:cs="Arial"/>
                <w:lang w:val="es-MX"/>
              </w:rPr>
            </w:pPr>
            <w:r w:rsidRPr="00BA2E90">
              <w:rPr>
                <w:rFonts w:cs="Arial"/>
                <w:lang w:val="es-MX"/>
              </w:rPr>
              <w:t>3.- Documentos y Expedientes</w:t>
            </w:r>
          </w:p>
        </w:tc>
      </w:tr>
      <w:tr w:rsidR="00BA2E90" w:rsidRPr="00BA2E90" w:rsidTr="00604C11">
        <w:trPr>
          <w:cantSplit/>
          <w:trHeight w:val="20"/>
          <w:jc w:val="center"/>
        </w:trPr>
        <w:tc>
          <w:tcPr>
            <w:tcW w:w="2815" w:type="dxa"/>
            <w:vMerge/>
            <w:tcBorders>
              <w:left w:val="single" w:sz="6" w:space="0" w:color="auto"/>
              <w:bottom w:val="single" w:sz="6" w:space="0" w:color="auto"/>
              <w:right w:val="single" w:sz="6" w:space="0" w:color="auto"/>
            </w:tcBorders>
            <w:vAlign w:val="center"/>
          </w:tcPr>
          <w:p w:rsidR="00BA2E90" w:rsidRPr="00BA2E90" w:rsidRDefault="00BA2E90" w:rsidP="00604C11">
            <w:pPr>
              <w:pStyle w:val="Texto"/>
              <w:spacing w:line="220" w:lineRule="exact"/>
              <w:ind w:firstLine="0"/>
              <w:rPr>
                <w:rFonts w:cs="Arial"/>
                <w:lang w:val="es-MX"/>
              </w:rPr>
            </w:pPr>
          </w:p>
        </w:tc>
        <w:tc>
          <w:tcPr>
            <w:tcW w:w="4419" w:type="dxa"/>
            <w:tcBorders>
              <w:top w:val="single" w:sz="6" w:space="0" w:color="auto"/>
              <w:left w:val="single" w:sz="6" w:space="0" w:color="auto"/>
              <w:bottom w:val="single" w:sz="6" w:space="0" w:color="auto"/>
              <w:right w:val="single" w:sz="6" w:space="0" w:color="auto"/>
            </w:tcBorders>
            <w:vAlign w:val="center"/>
          </w:tcPr>
          <w:p w:rsidR="00BA2E90" w:rsidRPr="00BA2E90" w:rsidRDefault="00BA2E90" w:rsidP="00604C11">
            <w:pPr>
              <w:pStyle w:val="Texto"/>
              <w:spacing w:line="220" w:lineRule="exact"/>
              <w:ind w:firstLine="0"/>
              <w:rPr>
                <w:rFonts w:cs="Arial"/>
                <w:lang w:val="es-MX"/>
              </w:rPr>
            </w:pPr>
            <w:r w:rsidRPr="00BA2E90">
              <w:rPr>
                <w:rFonts w:cs="Arial"/>
                <w:lang w:val="es-MX"/>
              </w:rPr>
              <w:t xml:space="preserve">4. Colecciones </w:t>
            </w:r>
          </w:p>
        </w:tc>
      </w:tr>
      <w:tr w:rsidR="00BA2E90" w:rsidRPr="00BA2E90" w:rsidTr="00604C11">
        <w:trPr>
          <w:cantSplit/>
          <w:trHeight w:val="20"/>
          <w:jc w:val="center"/>
        </w:trPr>
        <w:tc>
          <w:tcPr>
            <w:tcW w:w="7234" w:type="dxa"/>
            <w:gridSpan w:val="2"/>
            <w:tcBorders>
              <w:top w:val="single" w:sz="6" w:space="0" w:color="auto"/>
            </w:tcBorders>
            <w:vAlign w:val="center"/>
          </w:tcPr>
          <w:p w:rsidR="00BA2E90" w:rsidRPr="00BA2E90" w:rsidRDefault="00BA2E90" w:rsidP="00604C11">
            <w:pPr>
              <w:pStyle w:val="Texto"/>
              <w:spacing w:before="60" w:line="220" w:lineRule="exact"/>
              <w:ind w:firstLine="0"/>
              <w:rPr>
                <w:rFonts w:cs="Arial"/>
                <w:sz w:val="16"/>
                <w:szCs w:val="16"/>
                <w:lang w:val="es-MX"/>
              </w:rPr>
            </w:pPr>
            <w:r w:rsidRPr="00BA2E90">
              <w:rPr>
                <w:rFonts w:cs="Arial"/>
                <w:sz w:val="16"/>
                <w:szCs w:val="16"/>
              </w:rPr>
              <w:br w:type="page"/>
            </w:r>
            <w:r w:rsidRPr="00BA2E90">
              <w:rPr>
                <w:rFonts w:cs="Arial"/>
                <w:sz w:val="16"/>
                <w:szCs w:val="16"/>
                <w:lang w:val="es-MX"/>
              </w:rPr>
              <w:t>Fuente: Ley Federal sobre Monumentos y Zonas Arqueológicos, Artísticos e Históricos</w:t>
            </w:r>
          </w:p>
        </w:tc>
      </w:tr>
    </w:tbl>
    <w:p w:rsidR="00BA2E90" w:rsidRPr="00927D2F" w:rsidRDefault="00BA2E90" w:rsidP="00BA2E90">
      <w:pPr>
        <w:pStyle w:val="Texto"/>
        <w:spacing w:line="220" w:lineRule="exact"/>
        <w:rPr>
          <w:szCs w:val="22"/>
        </w:rPr>
      </w:pPr>
    </w:p>
    <w:tbl>
      <w:tblPr>
        <w:tblW w:w="7221" w:type="dxa"/>
        <w:jc w:val="center"/>
        <w:tblInd w:w="144" w:type="dxa"/>
        <w:tblCellMar>
          <w:left w:w="72" w:type="dxa"/>
          <w:right w:w="72" w:type="dxa"/>
        </w:tblCellMar>
        <w:tblLook w:val="0000"/>
      </w:tblPr>
      <w:tblGrid>
        <w:gridCol w:w="2455"/>
        <w:gridCol w:w="4766"/>
      </w:tblGrid>
      <w:tr w:rsidR="00BA2E90" w:rsidRPr="00BA2E90" w:rsidTr="00604C11">
        <w:trPr>
          <w:cantSplit/>
          <w:trHeight w:val="20"/>
          <w:jc w:val="center"/>
        </w:trPr>
        <w:tc>
          <w:tcPr>
            <w:tcW w:w="7221" w:type="dxa"/>
            <w:gridSpan w:val="2"/>
            <w:tcBorders>
              <w:top w:val="single" w:sz="6" w:space="0" w:color="auto"/>
              <w:left w:val="single" w:sz="6" w:space="0" w:color="auto"/>
              <w:bottom w:val="single" w:sz="6" w:space="0" w:color="auto"/>
              <w:right w:val="single" w:sz="6" w:space="0" w:color="auto"/>
            </w:tcBorders>
            <w:noWrap/>
          </w:tcPr>
          <w:p w:rsidR="00BA2E90" w:rsidRPr="00BA2E90" w:rsidRDefault="00BA2E90" w:rsidP="00604C11">
            <w:pPr>
              <w:pStyle w:val="Texto"/>
              <w:spacing w:after="88"/>
              <w:ind w:firstLine="0"/>
              <w:jc w:val="center"/>
              <w:rPr>
                <w:rFonts w:cs="Arial"/>
                <w:b/>
                <w:szCs w:val="22"/>
                <w:lang w:val="es-MX"/>
              </w:rPr>
            </w:pPr>
            <w:r w:rsidRPr="00BA2E90">
              <w:rPr>
                <w:rFonts w:cs="Arial"/>
                <w:b/>
                <w:szCs w:val="22"/>
                <w:lang w:val="es-MX"/>
              </w:rPr>
              <w:t>CUENTAS DE ORDEN</w:t>
            </w:r>
          </w:p>
        </w:tc>
      </w:tr>
      <w:tr w:rsidR="00BA2E90" w:rsidRPr="00BA2E90" w:rsidTr="00604C11">
        <w:trPr>
          <w:cantSplit/>
          <w:trHeight w:val="20"/>
          <w:jc w:val="center"/>
        </w:trPr>
        <w:tc>
          <w:tcPr>
            <w:tcW w:w="2455" w:type="dxa"/>
            <w:tcBorders>
              <w:top w:val="single" w:sz="6" w:space="0" w:color="auto"/>
              <w:left w:val="single" w:sz="6" w:space="0" w:color="auto"/>
              <w:bottom w:val="single" w:sz="6" w:space="0" w:color="auto"/>
              <w:right w:val="single" w:sz="6" w:space="0" w:color="auto"/>
            </w:tcBorders>
          </w:tcPr>
          <w:p w:rsidR="00BA2E90" w:rsidRPr="00BA2E90" w:rsidRDefault="00BA2E90" w:rsidP="00604C11">
            <w:pPr>
              <w:pStyle w:val="Texto"/>
              <w:spacing w:after="88"/>
              <w:ind w:firstLine="0"/>
              <w:jc w:val="center"/>
              <w:rPr>
                <w:rFonts w:cs="Arial"/>
                <w:b/>
                <w:szCs w:val="22"/>
                <w:lang w:val="es-MX"/>
              </w:rPr>
            </w:pPr>
            <w:r w:rsidRPr="00BA2E90">
              <w:rPr>
                <w:rFonts w:cs="Arial"/>
                <w:b/>
                <w:szCs w:val="22"/>
                <w:lang w:val="es-MX"/>
              </w:rPr>
              <w:t>No. de Cuenta</w:t>
            </w:r>
          </w:p>
        </w:tc>
        <w:tc>
          <w:tcPr>
            <w:tcW w:w="4766" w:type="dxa"/>
            <w:tcBorders>
              <w:top w:val="single" w:sz="6" w:space="0" w:color="auto"/>
              <w:left w:val="single" w:sz="6" w:space="0" w:color="auto"/>
              <w:bottom w:val="single" w:sz="6" w:space="0" w:color="auto"/>
              <w:right w:val="single" w:sz="6" w:space="0" w:color="auto"/>
            </w:tcBorders>
          </w:tcPr>
          <w:p w:rsidR="00BA2E90" w:rsidRPr="00BA2E90" w:rsidRDefault="00BA2E90" w:rsidP="00604C11">
            <w:pPr>
              <w:pStyle w:val="Texto"/>
              <w:spacing w:after="88"/>
              <w:ind w:firstLine="0"/>
              <w:jc w:val="center"/>
              <w:rPr>
                <w:rFonts w:cs="Arial"/>
                <w:b/>
                <w:szCs w:val="22"/>
                <w:lang w:val="es-MX"/>
              </w:rPr>
            </w:pPr>
            <w:r w:rsidRPr="00BA2E90">
              <w:rPr>
                <w:rFonts w:cs="Arial"/>
                <w:b/>
                <w:szCs w:val="22"/>
                <w:lang w:val="es-MX"/>
              </w:rPr>
              <w:t>Nombre de la Cuenta</w:t>
            </w:r>
          </w:p>
        </w:tc>
      </w:tr>
      <w:tr w:rsidR="00BA2E90" w:rsidRPr="00BA2E90" w:rsidTr="00604C11">
        <w:trPr>
          <w:cantSplit/>
          <w:trHeight w:val="20"/>
          <w:jc w:val="center"/>
        </w:trPr>
        <w:tc>
          <w:tcPr>
            <w:tcW w:w="2455" w:type="dxa"/>
            <w:tcBorders>
              <w:top w:val="single" w:sz="6" w:space="0" w:color="auto"/>
              <w:left w:val="single" w:sz="6" w:space="0" w:color="auto"/>
              <w:bottom w:val="single" w:sz="6" w:space="0" w:color="auto"/>
              <w:right w:val="single" w:sz="6" w:space="0" w:color="auto"/>
            </w:tcBorders>
          </w:tcPr>
          <w:p w:rsidR="00BA2E90" w:rsidRPr="00BA2E90" w:rsidRDefault="00BA2E90" w:rsidP="00604C11">
            <w:pPr>
              <w:pStyle w:val="Texto"/>
              <w:spacing w:after="88"/>
              <w:ind w:firstLine="0"/>
              <w:jc w:val="center"/>
              <w:rPr>
                <w:rFonts w:cs="Arial"/>
                <w:lang w:val="es-MX"/>
              </w:rPr>
            </w:pPr>
            <w:r w:rsidRPr="00BA2E90">
              <w:rPr>
                <w:rFonts w:cs="Arial"/>
                <w:lang w:val="es-MX"/>
              </w:rPr>
              <w:t>7.X</w:t>
            </w:r>
          </w:p>
        </w:tc>
        <w:tc>
          <w:tcPr>
            <w:tcW w:w="4766" w:type="dxa"/>
            <w:tcBorders>
              <w:top w:val="single" w:sz="6" w:space="0" w:color="auto"/>
              <w:left w:val="single" w:sz="6" w:space="0" w:color="auto"/>
              <w:bottom w:val="single" w:sz="6" w:space="0" w:color="auto"/>
              <w:right w:val="single" w:sz="6" w:space="0" w:color="auto"/>
            </w:tcBorders>
          </w:tcPr>
          <w:p w:rsidR="00BA2E90" w:rsidRPr="00BA2E90" w:rsidRDefault="00BA2E90" w:rsidP="00604C11">
            <w:pPr>
              <w:pStyle w:val="Texto"/>
              <w:spacing w:after="88"/>
              <w:ind w:firstLine="0"/>
              <w:rPr>
                <w:rFonts w:cs="Arial"/>
                <w:lang w:val="es-MX"/>
              </w:rPr>
            </w:pPr>
            <w:r w:rsidRPr="00BA2E90">
              <w:rPr>
                <w:rFonts w:cs="Arial"/>
                <w:lang w:val="es-MX"/>
              </w:rPr>
              <w:t>Bienes arqueológicos, artísticos e históricos en custodia</w:t>
            </w:r>
          </w:p>
        </w:tc>
      </w:tr>
      <w:tr w:rsidR="00BA2E90" w:rsidRPr="00BA2E90" w:rsidTr="00604C11">
        <w:trPr>
          <w:cantSplit/>
          <w:trHeight w:val="20"/>
          <w:jc w:val="center"/>
        </w:trPr>
        <w:tc>
          <w:tcPr>
            <w:tcW w:w="2455" w:type="dxa"/>
            <w:tcBorders>
              <w:top w:val="single" w:sz="6" w:space="0" w:color="auto"/>
              <w:left w:val="single" w:sz="6" w:space="0" w:color="auto"/>
              <w:bottom w:val="single" w:sz="6" w:space="0" w:color="auto"/>
              <w:right w:val="single" w:sz="6" w:space="0" w:color="auto"/>
            </w:tcBorders>
          </w:tcPr>
          <w:p w:rsidR="00BA2E90" w:rsidRPr="00BA2E90" w:rsidRDefault="00BA2E90" w:rsidP="00604C11">
            <w:pPr>
              <w:pStyle w:val="Texto"/>
              <w:spacing w:after="88"/>
              <w:ind w:firstLine="0"/>
              <w:jc w:val="center"/>
              <w:rPr>
                <w:rFonts w:cs="Arial"/>
                <w:lang w:val="es-MX"/>
              </w:rPr>
            </w:pPr>
            <w:r w:rsidRPr="00BA2E90">
              <w:rPr>
                <w:rFonts w:cs="Arial"/>
                <w:lang w:val="es-MX"/>
              </w:rPr>
              <w:t>7.X.1</w:t>
            </w:r>
          </w:p>
        </w:tc>
        <w:tc>
          <w:tcPr>
            <w:tcW w:w="4766" w:type="dxa"/>
            <w:tcBorders>
              <w:top w:val="single" w:sz="6" w:space="0" w:color="auto"/>
              <w:left w:val="single" w:sz="6" w:space="0" w:color="auto"/>
              <w:bottom w:val="single" w:sz="6" w:space="0" w:color="auto"/>
              <w:right w:val="single" w:sz="6" w:space="0" w:color="auto"/>
            </w:tcBorders>
          </w:tcPr>
          <w:p w:rsidR="00BA2E90" w:rsidRPr="00BA2E90" w:rsidRDefault="00BA2E90" w:rsidP="00604C11">
            <w:pPr>
              <w:pStyle w:val="Texto"/>
              <w:spacing w:after="88"/>
              <w:ind w:firstLine="0"/>
              <w:rPr>
                <w:rFonts w:cs="Arial"/>
                <w:lang w:val="es-MX"/>
              </w:rPr>
            </w:pPr>
            <w:r w:rsidRPr="00BA2E90">
              <w:rPr>
                <w:rFonts w:cs="Arial"/>
                <w:lang w:val="es-MX"/>
              </w:rPr>
              <w:t>Bienes arqueológicos en custodia</w:t>
            </w:r>
          </w:p>
        </w:tc>
      </w:tr>
      <w:tr w:rsidR="00BA2E90" w:rsidRPr="00BA2E90" w:rsidTr="00604C11">
        <w:trPr>
          <w:cantSplit/>
          <w:trHeight w:val="20"/>
          <w:jc w:val="center"/>
        </w:trPr>
        <w:tc>
          <w:tcPr>
            <w:tcW w:w="2455" w:type="dxa"/>
            <w:tcBorders>
              <w:top w:val="single" w:sz="6" w:space="0" w:color="auto"/>
              <w:left w:val="single" w:sz="6" w:space="0" w:color="auto"/>
              <w:bottom w:val="single" w:sz="6" w:space="0" w:color="auto"/>
              <w:right w:val="single" w:sz="6" w:space="0" w:color="auto"/>
            </w:tcBorders>
          </w:tcPr>
          <w:p w:rsidR="00BA2E90" w:rsidRPr="00BA2E90" w:rsidRDefault="00BA2E90" w:rsidP="00604C11">
            <w:pPr>
              <w:pStyle w:val="Texto"/>
              <w:spacing w:after="88"/>
              <w:ind w:firstLine="0"/>
              <w:jc w:val="center"/>
              <w:rPr>
                <w:rFonts w:cs="Arial"/>
                <w:lang w:val="es-MX"/>
              </w:rPr>
            </w:pPr>
            <w:r w:rsidRPr="00BA2E90">
              <w:rPr>
                <w:rFonts w:cs="Arial"/>
                <w:lang w:val="es-MX"/>
              </w:rPr>
              <w:t>7.X.2</w:t>
            </w:r>
          </w:p>
        </w:tc>
        <w:tc>
          <w:tcPr>
            <w:tcW w:w="4766" w:type="dxa"/>
            <w:tcBorders>
              <w:top w:val="single" w:sz="6" w:space="0" w:color="auto"/>
              <w:left w:val="single" w:sz="6" w:space="0" w:color="auto"/>
              <w:bottom w:val="single" w:sz="6" w:space="0" w:color="auto"/>
              <w:right w:val="single" w:sz="6" w:space="0" w:color="auto"/>
            </w:tcBorders>
          </w:tcPr>
          <w:p w:rsidR="00BA2E90" w:rsidRPr="00BA2E90" w:rsidRDefault="00BA2E90" w:rsidP="00604C11">
            <w:pPr>
              <w:pStyle w:val="Texto"/>
              <w:spacing w:after="88"/>
              <w:ind w:firstLine="0"/>
              <w:rPr>
                <w:rFonts w:cs="Arial"/>
                <w:lang w:val="es-MX"/>
              </w:rPr>
            </w:pPr>
            <w:r w:rsidRPr="00BA2E90">
              <w:rPr>
                <w:rFonts w:cs="Arial"/>
                <w:lang w:val="es-MX"/>
              </w:rPr>
              <w:t>Custodia de bienes arqueológicos</w:t>
            </w:r>
          </w:p>
        </w:tc>
      </w:tr>
      <w:tr w:rsidR="00BA2E90" w:rsidRPr="00BA2E90" w:rsidTr="00604C11">
        <w:trPr>
          <w:cantSplit/>
          <w:trHeight w:val="20"/>
          <w:jc w:val="center"/>
        </w:trPr>
        <w:tc>
          <w:tcPr>
            <w:tcW w:w="2455" w:type="dxa"/>
            <w:tcBorders>
              <w:top w:val="single" w:sz="6" w:space="0" w:color="auto"/>
              <w:left w:val="single" w:sz="6" w:space="0" w:color="auto"/>
              <w:bottom w:val="single" w:sz="6" w:space="0" w:color="auto"/>
              <w:right w:val="single" w:sz="6" w:space="0" w:color="auto"/>
            </w:tcBorders>
          </w:tcPr>
          <w:p w:rsidR="00BA2E90" w:rsidRPr="00BA2E90" w:rsidRDefault="00BA2E90" w:rsidP="00604C11">
            <w:pPr>
              <w:pStyle w:val="Texto"/>
              <w:spacing w:after="88"/>
              <w:ind w:firstLine="0"/>
              <w:jc w:val="center"/>
              <w:rPr>
                <w:rFonts w:cs="Arial"/>
                <w:lang w:val="es-MX"/>
              </w:rPr>
            </w:pPr>
            <w:r w:rsidRPr="00BA2E90">
              <w:rPr>
                <w:rFonts w:cs="Arial"/>
                <w:lang w:val="es-MX"/>
              </w:rPr>
              <w:t>7.X.3</w:t>
            </w:r>
          </w:p>
        </w:tc>
        <w:tc>
          <w:tcPr>
            <w:tcW w:w="4766" w:type="dxa"/>
            <w:tcBorders>
              <w:top w:val="single" w:sz="6" w:space="0" w:color="auto"/>
              <w:left w:val="single" w:sz="6" w:space="0" w:color="auto"/>
              <w:bottom w:val="single" w:sz="6" w:space="0" w:color="auto"/>
              <w:right w:val="single" w:sz="6" w:space="0" w:color="auto"/>
            </w:tcBorders>
          </w:tcPr>
          <w:p w:rsidR="00BA2E90" w:rsidRPr="00BA2E90" w:rsidRDefault="00BA2E90" w:rsidP="00604C11">
            <w:pPr>
              <w:pStyle w:val="Texto"/>
              <w:spacing w:after="88"/>
              <w:ind w:firstLine="0"/>
              <w:rPr>
                <w:rFonts w:cs="Arial"/>
                <w:lang w:val="es-MX"/>
              </w:rPr>
            </w:pPr>
            <w:r w:rsidRPr="00BA2E90">
              <w:rPr>
                <w:rFonts w:cs="Arial"/>
                <w:lang w:val="es-MX"/>
              </w:rPr>
              <w:t>Bienes artísticos en custodia</w:t>
            </w:r>
          </w:p>
        </w:tc>
      </w:tr>
      <w:tr w:rsidR="00BA2E90" w:rsidRPr="00BA2E90" w:rsidTr="00604C11">
        <w:trPr>
          <w:cantSplit/>
          <w:trHeight w:val="20"/>
          <w:jc w:val="center"/>
        </w:trPr>
        <w:tc>
          <w:tcPr>
            <w:tcW w:w="2455" w:type="dxa"/>
            <w:tcBorders>
              <w:top w:val="single" w:sz="6" w:space="0" w:color="auto"/>
              <w:left w:val="single" w:sz="6" w:space="0" w:color="auto"/>
              <w:bottom w:val="single" w:sz="6" w:space="0" w:color="auto"/>
              <w:right w:val="single" w:sz="6" w:space="0" w:color="auto"/>
            </w:tcBorders>
          </w:tcPr>
          <w:p w:rsidR="00BA2E90" w:rsidRPr="00BA2E90" w:rsidRDefault="00BA2E90" w:rsidP="00604C11">
            <w:pPr>
              <w:pStyle w:val="Texto"/>
              <w:spacing w:after="88"/>
              <w:ind w:firstLine="0"/>
              <w:jc w:val="center"/>
              <w:rPr>
                <w:rFonts w:cs="Arial"/>
                <w:lang w:val="es-MX"/>
              </w:rPr>
            </w:pPr>
            <w:r w:rsidRPr="00BA2E90">
              <w:rPr>
                <w:rFonts w:cs="Arial"/>
                <w:lang w:val="es-MX"/>
              </w:rPr>
              <w:t>7.X.4</w:t>
            </w:r>
          </w:p>
        </w:tc>
        <w:tc>
          <w:tcPr>
            <w:tcW w:w="4766" w:type="dxa"/>
            <w:tcBorders>
              <w:top w:val="single" w:sz="6" w:space="0" w:color="auto"/>
              <w:left w:val="single" w:sz="6" w:space="0" w:color="auto"/>
              <w:bottom w:val="single" w:sz="6" w:space="0" w:color="auto"/>
              <w:right w:val="single" w:sz="6" w:space="0" w:color="auto"/>
            </w:tcBorders>
          </w:tcPr>
          <w:p w:rsidR="00BA2E90" w:rsidRPr="00BA2E90" w:rsidRDefault="00BA2E90" w:rsidP="00604C11">
            <w:pPr>
              <w:pStyle w:val="Texto"/>
              <w:spacing w:after="88"/>
              <w:ind w:firstLine="0"/>
              <w:rPr>
                <w:rFonts w:cs="Arial"/>
                <w:lang w:val="es-MX"/>
              </w:rPr>
            </w:pPr>
            <w:r w:rsidRPr="00BA2E90">
              <w:rPr>
                <w:rFonts w:cs="Arial"/>
                <w:lang w:val="es-MX"/>
              </w:rPr>
              <w:t>Custodia de bienes artísticos</w:t>
            </w:r>
          </w:p>
        </w:tc>
      </w:tr>
      <w:tr w:rsidR="00BA2E90" w:rsidRPr="00BA2E90" w:rsidTr="00604C11">
        <w:trPr>
          <w:cantSplit/>
          <w:trHeight w:val="20"/>
          <w:jc w:val="center"/>
        </w:trPr>
        <w:tc>
          <w:tcPr>
            <w:tcW w:w="2455" w:type="dxa"/>
            <w:tcBorders>
              <w:top w:val="single" w:sz="6" w:space="0" w:color="auto"/>
              <w:left w:val="single" w:sz="6" w:space="0" w:color="auto"/>
              <w:bottom w:val="single" w:sz="6" w:space="0" w:color="auto"/>
              <w:right w:val="single" w:sz="6" w:space="0" w:color="auto"/>
            </w:tcBorders>
          </w:tcPr>
          <w:p w:rsidR="00BA2E90" w:rsidRPr="00BA2E90" w:rsidRDefault="00BA2E90" w:rsidP="00604C11">
            <w:pPr>
              <w:pStyle w:val="Texto"/>
              <w:spacing w:after="88"/>
              <w:ind w:firstLine="0"/>
              <w:jc w:val="center"/>
              <w:rPr>
                <w:rFonts w:cs="Arial"/>
                <w:lang w:val="es-MX"/>
              </w:rPr>
            </w:pPr>
            <w:r w:rsidRPr="00BA2E90">
              <w:rPr>
                <w:rFonts w:cs="Arial"/>
                <w:lang w:val="es-MX"/>
              </w:rPr>
              <w:t>7.X.5</w:t>
            </w:r>
          </w:p>
        </w:tc>
        <w:tc>
          <w:tcPr>
            <w:tcW w:w="4766" w:type="dxa"/>
            <w:tcBorders>
              <w:top w:val="single" w:sz="6" w:space="0" w:color="auto"/>
              <w:left w:val="single" w:sz="6" w:space="0" w:color="auto"/>
              <w:bottom w:val="single" w:sz="6" w:space="0" w:color="auto"/>
              <w:right w:val="single" w:sz="6" w:space="0" w:color="auto"/>
            </w:tcBorders>
          </w:tcPr>
          <w:p w:rsidR="00BA2E90" w:rsidRPr="00BA2E90" w:rsidRDefault="00BA2E90" w:rsidP="00604C11">
            <w:pPr>
              <w:pStyle w:val="Texto"/>
              <w:spacing w:after="88"/>
              <w:ind w:firstLine="0"/>
              <w:rPr>
                <w:rFonts w:cs="Arial"/>
                <w:lang w:val="es-MX"/>
              </w:rPr>
            </w:pPr>
            <w:r w:rsidRPr="00BA2E90">
              <w:rPr>
                <w:rFonts w:cs="Arial"/>
                <w:lang w:val="es-MX"/>
              </w:rPr>
              <w:t>Bienes históricos en custodia</w:t>
            </w:r>
          </w:p>
        </w:tc>
      </w:tr>
      <w:tr w:rsidR="00BA2E90" w:rsidRPr="00BA2E90" w:rsidTr="00604C11">
        <w:trPr>
          <w:cantSplit/>
          <w:trHeight w:val="20"/>
          <w:jc w:val="center"/>
        </w:trPr>
        <w:tc>
          <w:tcPr>
            <w:tcW w:w="2455" w:type="dxa"/>
            <w:tcBorders>
              <w:top w:val="single" w:sz="6" w:space="0" w:color="auto"/>
              <w:left w:val="single" w:sz="6" w:space="0" w:color="auto"/>
              <w:bottom w:val="single" w:sz="6" w:space="0" w:color="auto"/>
              <w:right w:val="single" w:sz="6" w:space="0" w:color="auto"/>
            </w:tcBorders>
          </w:tcPr>
          <w:p w:rsidR="00BA2E90" w:rsidRPr="00BA2E90" w:rsidRDefault="00BA2E90" w:rsidP="00604C11">
            <w:pPr>
              <w:pStyle w:val="Texto"/>
              <w:spacing w:after="88"/>
              <w:ind w:firstLine="0"/>
              <w:jc w:val="center"/>
              <w:rPr>
                <w:rFonts w:cs="Arial"/>
                <w:lang w:val="es-MX"/>
              </w:rPr>
            </w:pPr>
            <w:r w:rsidRPr="00BA2E90">
              <w:rPr>
                <w:rFonts w:cs="Arial"/>
                <w:lang w:val="es-MX"/>
              </w:rPr>
              <w:t>7.X.6</w:t>
            </w:r>
          </w:p>
        </w:tc>
        <w:tc>
          <w:tcPr>
            <w:tcW w:w="4766" w:type="dxa"/>
            <w:tcBorders>
              <w:top w:val="single" w:sz="6" w:space="0" w:color="auto"/>
              <w:left w:val="single" w:sz="6" w:space="0" w:color="auto"/>
              <w:bottom w:val="single" w:sz="6" w:space="0" w:color="auto"/>
              <w:right w:val="single" w:sz="6" w:space="0" w:color="auto"/>
            </w:tcBorders>
          </w:tcPr>
          <w:p w:rsidR="00BA2E90" w:rsidRPr="00BA2E90" w:rsidRDefault="00BA2E90" w:rsidP="00604C11">
            <w:pPr>
              <w:pStyle w:val="Texto"/>
              <w:spacing w:after="88"/>
              <w:ind w:firstLine="0"/>
              <w:rPr>
                <w:rFonts w:cs="Arial"/>
                <w:lang w:val="es-MX"/>
              </w:rPr>
            </w:pPr>
            <w:r w:rsidRPr="00BA2E90">
              <w:rPr>
                <w:rFonts w:cs="Arial"/>
                <w:lang w:val="es-MX"/>
              </w:rPr>
              <w:t>Custodia de bienes históricos</w:t>
            </w:r>
          </w:p>
        </w:tc>
      </w:tr>
    </w:tbl>
    <w:p w:rsidR="00BA2E90" w:rsidRDefault="00BA2E90" w:rsidP="00BA2E90">
      <w:pPr>
        <w:pStyle w:val="Texto"/>
        <w:spacing w:after="88"/>
        <w:rPr>
          <w:b/>
        </w:rPr>
      </w:pPr>
    </w:p>
    <w:p w:rsidR="00BA2E90" w:rsidRPr="00927D2F" w:rsidRDefault="00BA2E90" w:rsidP="00BA2E90">
      <w:pPr>
        <w:pStyle w:val="Texto"/>
        <w:spacing w:after="88"/>
        <w:rPr>
          <w:b/>
        </w:rPr>
      </w:pPr>
      <w:r w:rsidRPr="00927D2F">
        <w:rPr>
          <w:b/>
        </w:rPr>
        <w:t>Anexo 1</w:t>
      </w:r>
    </w:p>
    <w:p w:rsidR="00BA2E90" w:rsidRPr="00927D2F" w:rsidRDefault="00BA2E90" w:rsidP="00BA2E90">
      <w:pPr>
        <w:pStyle w:val="Texto"/>
        <w:spacing w:after="88"/>
        <w:rPr>
          <w:szCs w:val="24"/>
        </w:rPr>
      </w:pPr>
    </w:p>
    <w:tbl>
      <w:tblPr>
        <w:tblW w:w="8712" w:type="dxa"/>
        <w:tblInd w:w="144" w:type="dxa"/>
        <w:tblBorders>
          <w:top w:val="single" w:sz="6" w:space="0" w:color="auto"/>
          <w:left w:val="single" w:sz="6" w:space="0" w:color="auto"/>
          <w:bottom w:val="single" w:sz="6" w:space="0" w:color="auto"/>
          <w:right w:val="single" w:sz="6" w:space="0" w:color="auto"/>
          <w:insideH w:val="single" w:sz="6" w:space="0" w:color="auto"/>
        </w:tblBorders>
        <w:tblCellMar>
          <w:left w:w="72" w:type="dxa"/>
          <w:right w:w="72" w:type="dxa"/>
        </w:tblCellMar>
        <w:tblLook w:val="0000"/>
      </w:tblPr>
      <w:tblGrid>
        <w:gridCol w:w="1278"/>
        <w:gridCol w:w="450"/>
        <w:gridCol w:w="720"/>
        <w:gridCol w:w="1620"/>
        <w:gridCol w:w="1620"/>
        <w:gridCol w:w="1440"/>
        <w:gridCol w:w="1584"/>
      </w:tblGrid>
      <w:tr w:rsidR="00BA2E90" w:rsidRPr="00BA2E90" w:rsidTr="00604C11">
        <w:trPr>
          <w:cantSplit/>
          <w:trHeight w:val="20"/>
        </w:trPr>
        <w:tc>
          <w:tcPr>
            <w:tcW w:w="1728" w:type="dxa"/>
            <w:gridSpan w:val="2"/>
            <w:noWrap/>
            <w:vAlign w:val="center"/>
          </w:tcPr>
          <w:p w:rsidR="00BA2E90" w:rsidRPr="00BA2E90" w:rsidRDefault="00514078" w:rsidP="00604C11">
            <w:pPr>
              <w:pStyle w:val="Texto"/>
              <w:spacing w:after="88" w:line="240" w:lineRule="auto"/>
              <w:ind w:firstLine="0"/>
              <w:jc w:val="center"/>
              <w:rPr>
                <w:rFonts w:cs="Arial"/>
                <w:szCs w:val="24"/>
                <w:lang w:val="es-MX"/>
              </w:rPr>
            </w:pPr>
            <w:r>
              <w:rPr>
                <w:rFonts w:cs="Arial"/>
                <w:noProof/>
                <w:szCs w:val="18"/>
              </w:rPr>
              <w:drawing>
                <wp:inline distT="0" distB="0" distL="0" distR="0">
                  <wp:extent cx="723900" cy="495300"/>
                  <wp:effectExtent l="1905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6" cstate="print"/>
                          <a:srcRect/>
                          <a:stretch>
                            <a:fillRect/>
                          </a:stretch>
                        </pic:blipFill>
                        <pic:spPr bwMode="auto">
                          <a:xfrm>
                            <a:off x="0" y="0"/>
                            <a:ext cx="723900" cy="495300"/>
                          </a:xfrm>
                          <a:prstGeom prst="rect">
                            <a:avLst/>
                          </a:prstGeom>
                          <a:noFill/>
                          <a:ln w="9525">
                            <a:noFill/>
                            <a:miter lim="800000"/>
                            <a:headEnd/>
                            <a:tailEnd/>
                          </a:ln>
                        </pic:spPr>
                      </pic:pic>
                    </a:graphicData>
                  </a:graphic>
                </wp:inline>
              </w:drawing>
            </w:r>
          </w:p>
        </w:tc>
        <w:tc>
          <w:tcPr>
            <w:tcW w:w="6984" w:type="dxa"/>
            <w:gridSpan w:val="5"/>
          </w:tcPr>
          <w:p w:rsidR="00BA2E90" w:rsidRPr="00BA2E90" w:rsidRDefault="00BA2E90" w:rsidP="00604C11">
            <w:pPr>
              <w:pStyle w:val="Texto"/>
              <w:spacing w:after="88" w:line="240" w:lineRule="exact"/>
              <w:ind w:firstLine="0"/>
              <w:jc w:val="center"/>
              <w:rPr>
                <w:rFonts w:cs="Arial"/>
                <w:i/>
                <w:szCs w:val="22"/>
                <w:lang w:val="es-MX"/>
              </w:rPr>
            </w:pPr>
            <w:r w:rsidRPr="00BA2E90">
              <w:rPr>
                <w:rFonts w:cs="Arial"/>
                <w:szCs w:val="22"/>
                <w:lang w:val="es-MX"/>
              </w:rPr>
              <w:t>Nombre del Ente Público</w:t>
            </w:r>
          </w:p>
          <w:p w:rsidR="00BA2E90" w:rsidRPr="00BA2E90" w:rsidRDefault="00BA2E90" w:rsidP="00604C11">
            <w:pPr>
              <w:pStyle w:val="Texto"/>
              <w:spacing w:after="88" w:line="240" w:lineRule="exact"/>
              <w:ind w:firstLine="0"/>
              <w:jc w:val="center"/>
              <w:rPr>
                <w:rFonts w:cs="Arial"/>
                <w:szCs w:val="22"/>
                <w:lang w:val="es-MX"/>
              </w:rPr>
            </w:pPr>
            <w:r w:rsidRPr="00BA2E90">
              <w:rPr>
                <w:rFonts w:cs="Arial"/>
                <w:szCs w:val="22"/>
                <w:lang w:val="es-MX"/>
              </w:rPr>
              <w:t>*Auxiliar Sujeto a Inventario de Bienes Arqueológicos,</w:t>
            </w:r>
          </w:p>
          <w:p w:rsidR="00BA2E90" w:rsidRPr="00BA2E90" w:rsidRDefault="00BA2E90" w:rsidP="00604C11">
            <w:pPr>
              <w:pStyle w:val="Texto"/>
              <w:spacing w:after="88" w:line="240" w:lineRule="exact"/>
              <w:ind w:firstLine="0"/>
              <w:jc w:val="center"/>
              <w:rPr>
                <w:rFonts w:cs="Arial"/>
                <w:szCs w:val="22"/>
                <w:lang w:val="es-MX"/>
              </w:rPr>
            </w:pPr>
            <w:r w:rsidRPr="00BA2E90">
              <w:rPr>
                <w:rFonts w:cs="Arial"/>
                <w:szCs w:val="22"/>
                <w:lang w:val="es-MX"/>
              </w:rPr>
              <w:t>Artísticos e Históricos</w:t>
            </w:r>
          </w:p>
          <w:p w:rsidR="00BA2E90" w:rsidRPr="00BA2E90" w:rsidRDefault="00BA2E90" w:rsidP="00604C11">
            <w:pPr>
              <w:pStyle w:val="Texto"/>
              <w:spacing w:after="88" w:line="240" w:lineRule="exact"/>
              <w:ind w:firstLine="0"/>
              <w:jc w:val="center"/>
              <w:rPr>
                <w:rFonts w:cs="Arial"/>
                <w:szCs w:val="22"/>
                <w:lang w:val="es-MX"/>
              </w:rPr>
            </w:pPr>
            <w:r w:rsidRPr="00BA2E90">
              <w:rPr>
                <w:rFonts w:cs="Arial"/>
                <w:szCs w:val="22"/>
                <w:lang w:val="es-MX"/>
              </w:rPr>
              <w:t>al 31 de XXXX</w:t>
            </w:r>
          </w:p>
          <w:p w:rsidR="00BA2E90" w:rsidRPr="00BA2E90" w:rsidRDefault="00BA2E90" w:rsidP="00604C11">
            <w:pPr>
              <w:pStyle w:val="Texto"/>
              <w:spacing w:after="88" w:line="240" w:lineRule="exact"/>
              <w:ind w:firstLine="0"/>
              <w:jc w:val="center"/>
              <w:rPr>
                <w:rFonts w:cs="Arial"/>
                <w:noProof/>
                <w:lang w:val="es-MX"/>
              </w:rPr>
            </w:pPr>
            <w:r w:rsidRPr="00BA2E90">
              <w:rPr>
                <w:rFonts w:cs="Arial"/>
                <w:szCs w:val="22"/>
                <w:lang w:val="es-MX"/>
              </w:rPr>
              <w:t>(1)</w:t>
            </w:r>
          </w:p>
        </w:tc>
      </w:tr>
      <w:tr w:rsidR="00BA2E90" w:rsidRPr="00BA2E90" w:rsidTr="00604C11">
        <w:tblPrEx>
          <w:tblBorders>
            <w:top w:val="none" w:sz="0" w:space="0" w:color="auto"/>
            <w:left w:val="none" w:sz="0" w:space="0" w:color="auto"/>
            <w:bottom w:val="none" w:sz="0" w:space="0" w:color="auto"/>
            <w:right w:val="none" w:sz="0" w:space="0" w:color="auto"/>
            <w:insideH w:val="none" w:sz="0" w:space="0" w:color="auto"/>
          </w:tblBorders>
        </w:tblPrEx>
        <w:trPr>
          <w:cantSplit/>
          <w:trHeight w:val="20"/>
        </w:trPr>
        <w:tc>
          <w:tcPr>
            <w:tcW w:w="1278" w:type="dxa"/>
            <w:tcBorders>
              <w:top w:val="single" w:sz="6" w:space="0" w:color="auto"/>
              <w:left w:val="single" w:sz="6" w:space="0" w:color="auto"/>
              <w:bottom w:val="single" w:sz="6" w:space="0" w:color="auto"/>
              <w:right w:val="single" w:sz="6" w:space="0" w:color="auto"/>
            </w:tcBorders>
          </w:tcPr>
          <w:p w:rsidR="00BA2E90" w:rsidRPr="00BA2E90" w:rsidRDefault="00BA2E90" w:rsidP="00604C11">
            <w:pPr>
              <w:pStyle w:val="Texto"/>
              <w:spacing w:after="88"/>
              <w:ind w:firstLine="0"/>
              <w:jc w:val="center"/>
              <w:rPr>
                <w:rFonts w:cs="Arial"/>
                <w:b/>
                <w:lang w:val="es-MX"/>
              </w:rPr>
            </w:pPr>
            <w:r w:rsidRPr="00BA2E90">
              <w:rPr>
                <w:rFonts w:cs="Arial"/>
                <w:b/>
                <w:lang w:val="es-MX"/>
              </w:rPr>
              <w:t>Fecha</w:t>
            </w:r>
          </w:p>
        </w:tc>
        <w:tc>
          <w:tcPr>
            <w:tcW w:w="1170" w:type="dxa"/>
            <w:gridSpan w:val="2"/>
            <w:tcBorders>
              <w:top w:val="single" w:sz="6" w:space="0" w:color="auto"/>
              <w:left w:val="single" w:sz="6" w:space="0" w:color="auto"/>
              <w:bottom w:val="single" w:sz="6" w:space="0" w:color="auto"/>
              <w:right w:val="single" w:sz="6" w:space="0" w:color="auto"/>
            </w:tcBorders>
          </w:tcPr>
          <w:p w:rsidR="00BA2E90" w:rsidRPr="00BA2E90" w:rsidRDefault="00BA2E90" w:rsidP="00604C11">
            <w:pPr>
              <w:pStyle w:val="Texto"/>
              <w:spacing w:after="88"/>
              <w:ind w:firstLine="0"/>
              <w:jc w:val="center"/>
              <w:rPr>
                <w:rFonts w:cs="Arial"/>
                <w:b/>
                <w:lang w:val="es-MX"/>
              </w:rPr>
            </w:pPr>
            <w:r w:rsidRPr="00BA2E90">
              <w:rPr>
                <w:rFonts w:cs="Arial"/>
                <w:b/>
                <w:lang w:val="es-MX"/>
              </w:rPr>
              <w:t>Código del Bien</w:t>
            </w:r>
          </w:p>
        </w:tc>
        <w:tc>
          <w:tcPr>
            <w:tcW w:w="1620" w:type="dxa"/>
            <w:tcBorders>
              <w:top w:val="single" w:sz="6" w:space="0" w:color="auto"/>
              <w:left w:val="single" w:sz="6" w:space="0" w:color="auto"/>
              <w:bottom w:val="single" w:sz="6" w:space="0" w:color="auto"/>
              <w:right w:val="single" w:sz="6" w:space="0" w:color="auto"/>
            </w:tcBorders>
          </w:tcPr>
          <w:p w:rsidR="00BA2E90" w:rsidRPr="00BA2E90" w:rsidRDefault="00BA2E90" w:rsidP="00604C11">
            <w:pPr>
              <w:pStyle w:val="Texto"/>
              <w:spacing w:after="88"/>
              <w:ind w:firstLine="0"/>
              <w:jc w:val="center"/>
              <w:rPr>
                <w:rFonts w:cs="Arial"/>
                <w:b/>
                <w:lang w:val="es-MX"/>
              </w:rPr>
            </w:pPr>
            <w:r w:rsidRPr="00BA2E90">
              <w:rPr>
                <w:rFonts w:cs="Arial"/>
                <w:b/>
                <w:lang w:val="es-MX"/>
              </w:rPr>
              <w:t>Referencia de</w:t>
            </w:r>
            <w:r w:rsidRPr="00BA2E90">
              <w:rPr>
                <w:rFonts w:cs="Arial"/>
                <w:b/>
                <w:lang w:val="es-MX"/>
              </w:rPr>
              <w:br/>
              <w:t>la Declaratoria</w:t>
            </w:r>
          </w:p>
        </w:tc>
        <w:tc>
          <w:tcPr>
            <w:tcW w:w="1620" w:type="dxa"/>
            <w:tcBorders>
              <w:top w:val="single" w:sz="6" w:space="0" w:color="auto"/>
              <w:left w:val="single" w:sz="6" w:space="0" w:color="auto"/>
              <w:bottom w:val="single" w:sz="6" w:space="0" w:color="auto"/>
              <w:right w:val="single" w:sz="6" w:space="0" w:color="auto"/>
            </w:tcBorders>
          </w:tcPr>
          <w:p w:rsidR="00BA2E90" w:rsidRPr="00BA2E90" w:rsidRDefault="00BA2E90" w:rsidP="00604C11">
            <w:pPr>
              <w:pStyle w:val="Texto"/>
              <w:spacing w:after="88"/>
              <w:ind w:firstLine="0"/>
              <w:jc w:val="center"/>
              <w:rPr>
                <w:rFonts w:cs="Arial"/>
                <w:b/>
                <w:lang w:val="es-MX"/>
              </w:rPr>
            </w:pPr>
            <w:r w:rsidRPr="00BA2E90">
              <w:rPr>
                <w:rFonts w:cs="Arial"/>
                <w:b/>
                <w:lang w:val="es-MX"/>
              </w:rPr>
              <w:t>*Tipo de Bien</w:t>
            </w:r>
          </w:p>
        </w:tc>
        <w:tc>
          <w:tcPr>
            <w:tcW w:w="1440" w:type="dxa"/>
            <w:tcBorders>
              <w:top w:val="single" w:sz="6" w:space="0" w:color="auto"/>
              <w:left w:val="single" w:sz="6" w:space="0" w:color="auto"/>
              <w:bottom w:val="single" w:sz="6" w:space="0" w:color="auto"/>
              <w:right w:val="single" w:sz="6" w:space="0" w:color="auto"/>
            </w:tcBorders>
          </w:tcPr>
          <w:p w:rsidR="00BA2E90" w:rsidRPr="00BA2E90" w:rsidRDefault="00BA2E90" w:rsidP="00604C11">
            <w:pPr>
              <w:pStyle w:val="Texto"/>
              <w:spacing w:after="88"/>
              <w:ind w:firstLine="0"/>
              <w:jc w:val="center"/>
              <w:rPr>
                <w:rFonts w:cs="Arial"/>
                <w:b/>
                <w:lang w:val="es-MX"/>
              </w:rPr>
            </w:pPr>
            <w:r w:rsidRPr="00BA2E90">
              <w:rPr>
                <w:rFonts w:cs="Arial"/>
                <w:b/>
                <w:lang w:val="es-MX"/>
              </w:rPr>
              <w:t>*Clasificación</w:t>
            </w:r>
          </w:p>
        </w:tc>
        <w:tc>
          <w:tcPr>
            <w:tcW w:w="1584" w:type="dxa"/>
            <w:tcBorders>
              <w:top w:val="single" w:sz="6" w:space="0" w:color="auto"/>
              <w:left w:val="single" w:sz="6" w:space="0" w:color="auto"/>
              <w:bottom w:val="single" w:sz="6" w:space="0" w:color="auto"/>
              <w:right w:val="single" w:sz="6" w:space="0" w:color="auto"/>
            </w:tcBorders>
          </w:tcPr>
          <w:p w:rsidR="00BA2E90" w:rsidRPr="00BA2E90" w:rsidRDefault="00BA2E90" w:rsidP="00604C11">
            <w:pPr>
              <w:pStyle w:val="Texto"/>
              <w:spacing w:after="88"/>
              <w:ind w:firstLine="0"/>
              <w:jc w:val="center"/>
              <w:rPr>
                <w:rFonts w:cs="Arial"/>
                <w:b/>
                <w:lang w:val="es-MX"/>
              </w:rPr>
            </w:pPr>
            <w:r w:rsidRPr="00BA2E90">
              <w:rPr>
                <w:rFonts w:cs="Arial"/>
                <w:b/>
                <w:lang w:val="es-MX"/>
              </w:rPr>
              <w:t>Descripción</w:t>
            </w:r>
          </w:p>
        </w:tc>
      </w:tr>
      <w:tr w:rsidR="00BA2E90" w:rsidRPr="00BA2E90" w:rsidTr="00604C11">
        <w:tblPrEx>
          <w:tblBorders>
            <w:top w:val="none" w:sz="0" w:space="0" w:color="auto"/>
            <w:left w:val="none" w:sz="0" w:space="0" w:color="auto"/>
            <w:bottom w:val="none" w:sz="0" w:space="0" w:color="auto"/>
            <w:right w:val="none" w:sz="0" w:space="0" w:color="auto"/>
            <w:insideH w:val="none" w:sz="0" w:space="0" w:color="auto"/>
          </w:tblBorders>
        </w:tblPrEx>
        <w:trPr>
          <w:cantSplit/>
          <w:trHeight w:val="20"/>
        </w:trPr>
        <w:tc>
          <w:tcPr>
            <w:tcW w:w="1278" w:type="dxa"/>
            <w:tcBorders>
              <w:top w:val="single" w:sz="6" w:space="0" w:color="auto"/>
              <w:left w:val="single" w:sz="6" w:space="0" w:color="auto"/>
              <w:bottom w:val="single" w:sz="6" w:space="0" w:color="auto"/>
              <w:right w:val="single" w:sz="6" w:space="0" w:color="auto"/>
            </w:tcBorders>
          </w:tcPr>
          <w:p w:rsidR="00BA2E90" w:rsidRPr="00BA2E90" w:rsidRDefault="00BA2E90" w:rsidP="00604C11">
            <w:pPr>
              <w:pStyle w:val="Texto"/>
              <w:spacing w:after="88"/>
              <w:ind w:firstLine="0"/>
              <w:jc w:val="center"/>
              <w:rPr>
                <w:rFonts w:cs="Arial"/>
                <w:szCs w:val="22"/>
                <w:lang w:val="es-MX"/>
              </w:rPr>
            </w:pPr>
            <w:r w:rsidRPr="00BA2E90">
              <w:rPr>
                <w:rFonts w:cs="Arial"/>
                <w:szCs w:val="22"/>
                <w:lang w:val="es-MX"/>
              </w:rPr>
              <w:t>(2)</w:t>
            </w:r>
          </w:p>
          <w:p w:rsidR="00BA2E90" w:rsidRPr="00BA2E90" w:rsidRDefault="00BA2E90" w:rsidP="00604C11">
            <w:pPr>
              <w:pStyle w:val="Texto"/>
              <w:spacing w:after="88"/>
              <w:ind w:firstLine="0"/>
              <w:jc w:val="center"/>
              <w:rPr>
                <w:rFonts w:cs="Arial"/>
                <w:szCs w:val="22"/>
                <w:lang w:val="es-MX"/>
              </w:rPr>
            </w:pPr>
            <w:r w:rsidRPr="00BA2E90">
              <w:rPr>
                <w:rFonts w:cs="Arial"/>
                <w:szCs w:val="22"/>
                <w:lang w:val="es-MX"/>
              </w:rPr>
              <w:t>dd/mm/aa</w:t>
            </w:r>
          </w:p>
        </w:tc>
        <w:tc>
          <w:tcPr>
            <w:tcW w:w="1170" w:type="dxa"/>
            <w:gridSpan w:val="2"/>
            <w:tcBorders>
              <w:top w:val="single" w:sz="6" w:space="0" w:color="auto"/>
              <w:left w:val="single" w:sz="6" w:space="0" w:color="auto"/>
              <w:bottom w:val="single" w:sz="6" w:space="0" w:color="auto"/>
              <w:right w:val="single" w:sz="6" w:space="0" w:color="auto"/>
            </w:tcBorders>
          </w:tcPr>
          <w:p w:rsidR="00BA2E90" w:rsidRPr="00BA2E90" w:rsidRDefault="00BA2E90" w:rsidP="00604C11">
            <w:pPr>
              <w:pStyle w:val="Texto"/>
              <w:spacing w:after="88"/>
              <w:ind w:firstLine="0"/>
              <w:jc w:val="center"/>
              <w:rPr>
                <w:rFonts w:cs="Arial"/>
                <w:szCs w:val="22"/>
                <w:lang w:val="es-MX"/>
              </w:rPr>
            </w:pPr>
            <w:r w:rsidRPr="00BA2E90">
              <w:rPr>
                <w:rFonts w:cs="Arial"/>
                <w:szCs w:val="22"/>
                <w:lang w:val="es-MX"/>
              </w:rPr>
              <w:t>(3)</w:t>
            </w:r>
          </w:p>
          <w:p w:rsidR="00BA2E90" w:rsidRPr="00BA2E90" w:rsidRDefault="00BA2E90" w:rsidP="00604C11">
            <w:pPr>
              <w:pStyle w:val="Texto"/>
              <w:spacing w:after="88"/>
              <w:ind w:firstLine="0"/>
              <w:jc w:val="center"/>
              <w:rPr>
                <w:rFonts w:cs="Arial"/>
                <w:szCs w:val="22"/>
                <w:lang w:val="es-MX"/>
              </w:rPr>
            </w:pPr>
            <w:r w:rsidRPr="00BA2E90">
              <w:rPr>
                <w:rFonts w:cs="Arial"/>
                <w:szCs w:val="22"/>
                <w:lang w:val="es-MX"/>
              </w:rPr>
              <w:t>1.1.xxx</w:t>
            </w:r>
          </w:p>
        </w:tc>
        <w:tc>
          <w:tcPr>
            <w:tcW w:w="1620" w:type="dxa"/>
            <w:tcBorders>
              <w:top w:val="single" w:sz="6" w:space="0" w:color="auto"/>
              <w:left w:val="single" w:sz="6" w:space="0" w:color="auto"/>
              <w:bottom w:val="single" w:sz="6" w:space="0" w:color="auto"/>
              <w:right w:val="single" w:sz="6" w:space="0" w:color="auto"/>
            </w:tcBorders>
          </w:tcPr>
          <w:p w:rsidR="00BA2E90" w:rsidRPr="00BA2E90" w:rsidRDefault="00BA2E90" w:rsidP="00604C11">
            <w:pPr>
              <w:pStyle w:val="Texto"/>
              <w:spacing w:after="88"/>
              <w:ind w:firstLine="0"/>
              <w:jc w:val="center"/>
              <w:rPr>
                <w:rFonts w:cs="Arial"/>
                <w:szCs w:val="22"/>
                <w:lang w:val="es-MX"/>
              </w:rPr>
            </w:pPr>
            <w:r w:rsidRPr="00BA2E90">
              <w:rPr>
                <w:rFonts w:cs="Arial"/>
                <w:szCs w:val="22"/>
                <w:lang w:val="es-MX"/>
              </w:rPr>
              <w:t>(4)</w:t>
            </w:r>
          </w:p>
        </w:tc>
        <w:tc>
          <w:tcPr>
            <w:tcW w:w="1620" w:type="dxa"/>
            <w:tcBorders>
              <w:top w:val="single" w:sz="6" w:space="0" w:color="auto"/>
              <w:left w:val="single" w:sz="6" w:space="0" w:color="auto"/>
              <w:bottom w:val="single" w:sz="6" w:space="0" w:color="auto"/>
              <w:right w:val="single" w:sz="6" w:space="0" w:color="auto"/>
            </w:tcBorders>
          </w:tcPr>
          <w:p w:rsidR="00BA2E90" w:rsidRPr="00BA2E90" w:rsidRDefault="00BA2E90" w:rsidP="00604C11">
            <w:pPr>
              <w:pStyle w:val="Texto"/>
              <w:spacing w:after="88"/>
              <w:ind w:firstLine="0"/>
              <w:jc w:val="center"/>
              <w:rPr>
                <w:rFonts w:cs="Arial"/>
                <w:szCs w:val="22"/>
                <w:lang w:val="es-MX"/>
              </w:rPr>
            </w:pPr>
            <w:r w:rsidRPr="00BA2E90">
              <w:rPr>
                <w:rFonts w:cs="Arial"/>
                <w:szCs w:val="22"/>
                <w:lang w:val="es-MX"/>
              </w:rPr>
              <w:t>(5)</w:t>
            </w:r>
          </w:p>
          <w:p w:rsidR="00BA2E90" w:rsidRPr="00BA2E90" w:rsidRDefault="00BA2E90" w:rsidP="00604C11">
            <w:pPr>
              <w:pStyle w:val="Texto"/>
              <w:spacing w:after="88"/>
              <w:ind w:firstLine="0"/>
              <w:jc w:val="center"/>
              <w:rPr>
                <w:rFonts w:cs="Arial"/>
                <w:szCs w:val="22"/>
                <w:lang w:val="es-MX"/>
              </w:rPr>
            </w:pPr>
            <w:r w:rsidRPr="00BA2E90">
              <w:rPr>
                <w:rFonts w:cs="Arial"/>
                <w:szCs w:val="22"/>
                <w:lang w:val="es-MX"/>
              </w:rPr>
              <w:t>1. Arqueológicos</w:t>
            </w:r>
          </w:p>
        </w:tc>
        <w:tc>
          <w:tcPr>
            <w:tcW w:w="1440" w:type="dxa"/>
            <w:tcBorders>
              <w:top w:val="single" w:sz="6" w:space="0" w:color="auto"/>
              <w:left w:val="single" w:sz="6" w:space="0" w:color="auto"/>
              <w:bottom w:val="single" w:sz="6" w:space="0" w:color="auto"/>
              <w:right w:val="single" w:sz="6" w:space="0" w:color="auto"/>
            </w:tcBorders>
          </w:tcPr>
          <w:p w:rsidR="00BA2E90" w:rsidRPr="00BA2E90" w:rsidRDefault="00BA2E90" w:rsidP="00604C11">
            <w:pPr>
              <w:pStyle w:val="Texto"/>
              <w:spacing w:after="88"/>
              <w:ind w:firstLine="0"/>
              <w:jc w:val="center"/>
              <w:rPr>
                <w:rFonts w:cs="Arial"/>
                <w:szCs w:val="22"/>
                <w:lang w:val="es-MX"/>
              </w:rPr>
            </w:pPr>
            <w:r w:rsidRPr="00BA2E90">
              <w:rPr>
                <w:rFonts w:cs="Arial"/>
                <w:szCs w:val="22"/>
                <w:lang w:val="es-MX"/>
              </w:rPr>
              <w:t>(6)</w:t>
            </w:r>
          </w:p>
          <w:p w:rsidR="00BA2E90" w:rsidRPr="00BA2E90" w:rsidRDefault="00BA2E90" w:rsidP="00604C11">
            <w:pPr>
              <w:pStyle w:val="Texto"/>
              <w:spacing w:after="88"/>
              <w:ind w:firstLine="0"/>
              <w:jc w:val="center"/>
              <w:rPr>
                <w:rFonts w:cs="Arial"/>
                <w:szCs w:val="22"/>
                <w:lang w:val="es-MX"/>
              </w:rPr>
            </w:pPr>
            <w:r w:rsidRPr="00BA2E90">
              <w:rPr>
                <w:rFonts w:cs="Arial"/>
                <w:szCs w:val="22"/>
                <w:lang w:val="es-MX"/>
              </w:rPr>
              <w:t>1. Bienes Muebles</w:t>
            </w:r>
          </w:p>
          <w:p w:rsidR="00BA2E90" w:rsidRPr="00BA2E90" w:rsidRDefault="00BA2E90" w:rsidP="00604C11">
            <w:pPr>
              <w:pStyle w:val="Texto"/>
              <w:spacing w:after="88"/>
              <w:ind w:firstLine="0"/>
              <w:jc w:val="center"/>
              <w:rPr>
                <w:rFonts w:cs="Arial"/>
                <w:szCs w:val="22"/>
                <w:lang w:val="es-MX"/>
              </w:rPr>
            </w:pPr>
          </w:p>
          <w:p w:rsidR="00BA2E90" w:rsidRPr="00BA2E90" w:rsidRDefault="00BA2E90" w:rsidP="00604C11">
            <w:pPr>
              <w:pStyle w:val="Texto"/>
              <w:spacing w:after="88"/>
              <w:ind w:firstLine="0"/>
              <w:jc w:val="center"/>
              <w:rPr>
                <w:rFonts w:cs="Arial"/>
                <w:szCs w:val="22"/>
                <w:lang w:val="es-MX"/>
              </w:rPr>
            </w:pPr>
          </w:p>
          <w:p w:rsidR="00BA2E90" w:rsidRPr="00BA2E90" w:rsidRDefault="00BA2E90" w:rsidP="00604C11">
            <w:pPr>
              <w:pStyle w:val="Texto"/>
              <w:spacing w:after="88"/>
              <w:ind w:firstLine="0"/>
              <w:jc w:val="center"/>
              <w:rPr>
                <w:rFonts w:cs="Arial"/>
                <w:szCs w:val="22"/>
                <w:lang w:val="es-MX"/>
              </w:rPr>
            </w:pPr>
          </w:p>
          <w:p w:rsidR="00BA2E90" w:rsidRPr="00BA2E90" w:rsidRDefault="00BA2E90" w:rsidP="00604C11">
            <w:pPr>
              <w:pStyle w:val="Texto"/>
              <w:spacing w:after="88"/>
              <w:ind w:firstLine="0"/>
              <w:jc w:val="center"/>
              <w:rPr>
                <w:rFonts w:cs="Arial"/>
                <w:szCs w:val="22"/>
                <w:lang w:val="es-MX"/>
              </w:rPr>
            </w:pPr>
          </w:p>
        </w:tc>
        <w:tc>
          <w:tcPr>
            <w:tcW w:w="1584" w:type="dxa"/>
            <w:tcBorders>
              <w:top w:val="single" w:sz="6" w:space="0" w:color="auto"/>
              <w:left w:val="single" w:sz="6" w:space="0" w:color="auto"/>
              <w:bottom w:val="single" w:sz="6" w:space="0" w:color="auto"/>
              <w:right w:val="single" w:sz="6" w:space="0" w:color="auto"/>
            </w:tcBorders>
          </w:tcPr>
          <w:p w:rsidR="00BA2E90" w:rsidRPr="00BA2E90" w:rsidRDefault="00BA2E90" w:rsidP="00604C11">
            <w:pPr>
              <w:pStyle w:val="Texto"/>
              <w:spacing w:after="88"/>
              <w:ind w:firstLine="0"/>
              <w:jc w:val="center"/>
              <w:rPr>
                <w:rFonts w:cs="Arial"/>
                <w:szCs w:val="22"/>
                <w:lang w:val="es-MX"/>
              </w:rPr>
            </w:pPr>
            <w:r w:rsidRPr="00BA2E90">
              <w:rPr>
                <w:rFonts w:cs="Arial"/>
                <w:szCs w:val="22"/>
                <w:lang w:val="es-MX"/>
              </w:rPr>
              <w:t>(7)</w:t>
            </w:r>
          </w:p>
          <w:p w:rsidR="00BA2E90" w:rsidRPr="00BA2E90" w:rsidRDefault="00BA2E90" w:rsidP="00604C11">
            <w:pPr>
              <w:pStyle w:val="Texto"/>
              <w:spacing w:after="88"/>
              <w:ind w:firstLine="0"/>
              <w:jc w:val="center"/>
              <w:rPr>
                <w:rFonts w:cs="Arial"/>
                <w:szCs w:val="22"/>
                <w:lang w:val="es-MX"/>
              </w:rPr>
            </w:pPr>
            <w:r w:rsidRPr="00BA2E90">
              <w:rPr>
                <w:rFonts w:cs="Arial"/>
                <w:szCs w:val="22"/>
                <w:lang w:val="es-MX"/>
              </w:rPr>
              <w:t>Vasija de barro</w:t>
            </w:r>
          </w:p>
        </w:tc>
      </w:tr>
    </w:tbl>
    <w:p w:rsidR="00BA2E90" w:rsidRPr="00927D2F" w:rsidRDefault="00BA2E90" w:rsidP="00BA2E90">
      <w:pPr>
        <w:pStyle w:val="Texto"/>
        <w:spacing w:after="88"/>
        <w:rPr>
          <w:szCs w:val="24"/>
        </w:rPr>
      </w:pPr>
    </w:p>
    <w:p w:rsidR="00BA2E90" w:rsidRPr="00927D2F" w:rsidRDefault="00BA2E90" w:rsidP="00BA2E90">
      <w:pPr>
        <w:pStyle w:val="Texto"/>
        <w:spacing w:after="88"/>
        <w:rPr>
          <w:szCs w:val="22"/>
        </w:rPr>
      </w:pPr>
      <w:r w:rsidRPr="00927D2F">
        <w:rPr>
          <w:szCs w:val="22"/>
        </w:rPr>
        <w:lastRenderedPageBreak/>
        <w:t>*Se deberá de llevar un auxiliar para cada tipo y clasificación de bien.</w:t>
      </w:r>
    </w:p>
    <w:p w:rsidR="00BA2E90" w:rsidRPr="00927D2F" w:rsidRDefault="00BA2E90" w:rsidP="00BA2E90">
      <w:pPr>
        <w:pStyle w:val="Texto"/>
        <w:spacing w:after="88"/>
        <w:rPr>
          <w:szCs w:val="22"/>
        </w:rPr>
      </w:pPr>
      <w:r w:rsidRPr="00927D2F">
        <w:rPr>
          <w:szCs w:val="22"/>
        </w:rPr>
        <w:t>Instructivo de llenado:</w:t>
      </w:r>
    </w:p>
    <w:p w:rsidR="00BA2E90" w:rsidRPr="00927D2F" w:rsidRDefault="00BA2E90" w:rsidP="00BA2E90">
      <w:pPr>
        <w:pStyle w:val="ROMANOS"/>
        <w:spacing w:after="88"/>
      </w:pPr>
      <w:r w:rsidRPr="00927D2F">
        <w:t>1.</w:t>
      </w:r>
      <w:r w:rsidRPr="00927D2F">
        <w:tab/>
        <w:t>Datos generales del ente público: el encabezado de este auxiliar deberá contener, el nombre del ente público, logotipo (si existiera) y período.</w:t>
      </w:r>
    </w:p>
    <w:p w:rsidR="00BA2E90" w:rsidRPr="00927D2F" w:rsidRDefault="00BA2E90" w:rsidP="00BA2E90">
      <w:pPr>
        <w:pStyle w:val="ROMANOS"/>
        <w:spacing w:after="88"/>
      </w:pPr>
      <w:r w:rsidRPr="00927D2F">
        <w:t>2.</w:t>
      </w:r>
      <w:r w:rsidRPr="00927D2F">
        <w:tab/>
        <w:t>Fecha: en la que se realiza la operación señalando día, mes y año (dd/mm/aa).</w:t>
      </w:r>
    </w:p>
    <w:p w:rsidR="00BA2E90" w:rsidRPr="00927D2F" w:rsidRDefault="00BA2E90" w:rsidP="00BA2E90">
      <w:pPr>
        <w:pStyle w:val="ROMANOS"/>
        <w:spacing w:after="88"/>
      </w:pPr>
      <w:r w:rsidRPr="00927D2F">
        <w:t>3.</w:t>
      </w:r>
      <w:r w:rsidRPr="00927D2F">
        <w:tab/>
        <w:t>Código del Bien: Número de inventario o identificación que será numérico en sus dos primeros apartados considerando el Tipo de bien y su clasificación de acuerdo a la tabla “Clasificación de Bienes” y un consecutivo numérico o alfanumérico, Ejemplo 1. Arqueológicos 1. Bienes Muebles, Código 1.1.xxx</w:t>
      </w:r>
    </w:p>
    <w:p w:rsidR="00BA2E90" w:rsidRPr="00927D2F" w:rsidRDefault="00BA2E90" w:rsidP="00BA2E90">
      <w:pPr>
        <w:pStyle w:val="ROMANOS"/>
        <w:spacing w:after="88"/>
      </w:pPr>
      <w:r w:rsidRPr="00927D2F">
        <w:t>4.</w:t>
      </w:r>
      <w:r w:rsidRPr="00927D2F">
        <w:tab/>
        <w:t>Referencia de la Declaratoria: oficio o documento expedido por la autoridad competente en materia de bienes Arqueológicos, Artísticos e Históricos.</w:t>
      </w:r>
    </w:p>
    <w:p w:rsidR="00BA2E90" w:rsidRPr="00927D2F" w:rsidRDefault="00BA2E90" w:rsidP="00BA2E90">
      <w:pPr>
        <w:pStyle w:val="ROMANOS"/>
        <w:spacing w:after="88"/>
      </w:pPr>
      <w:r w:rsidRPr="00927D2F">
        <w:t>5.</w:t>
      </w:r>
      <w:r w:rsidRPr="00927D2F">
        <w:tab/>
        <w:t>Tipo de Bien: De acuerdo a la tabla “Clasificación de Bienes”, arqueológicos, artísticos e históricos.</w:t>
      </w:r>
    </w:p>
    <w:p w:rsidR="00BA2E90" w:rsidRPr="00927D2F" w:rsidRDefault="00BA2E90" w:rsidP="00BA2E90">
      <w:pPr>
        <w:pStyle w:val="ROMANOS"/>
        <w:spacing w:after="88"/>
      </w:pPr>
      <w:r w:rsidRPr="00927D2F">
        <w:t>6.</w:t>
      </w:r>
      <w:r w:rsidRPr="00927D2F">
        <w:tab/>
        <w:t>Clasificación: De acuerdo a la tabla “Clasificación de Bienes” ejemplo: bienes muebles.</w:t>
      </w:r>
    </w:p>
    <w:p w:rsidR="00BA2E90" w:rsidRPr="00927D2F" w:rsidRDefault="00BA2E90" w:rsidP="00BA2E90">
      <w:pPr>
        <w:pStyle w:val="ROMANOS"/>
        <w:spacing w:after="88"/>
      </w:pPr>
      <w:r w:rsidRPr="00927D2F">
        <w:t>7.</w:t>
      </w:r>
      <w:r w:rsidRPr="00927D2F">
        <w:tab/>
        <w:t>Descripción: Breve explicación del bien.</w:t>
      </w:r>
    </w:p>
    <w:p w:rsidR="00BA2E90" w:rsidRPr="00927D2F" w:rsidRDefault="00BA2E90" w:rsidP="00BA2E90">
      <w:pPr>
        <w:pStyle w:val="ANOTACION"/>
        <w:spacing w:after="88" w:line="216" w:lineRule="exact"/>
      </w:pPr>
      <w:r w:rsidRPr="00927D2F">
        <w:t>TRANSITORIOS</w:t>
      </w:r>
    </w:p>
    <w:p w:rsidR="00BA2E90" w:rsidRPr="00927D2F" w:rsidRDefault="00BA2E90" w:rsidP="00BA2E90">
      <w:pPr>
        <w:pStyle w:val="Texto"/>
        <w:spacing w:after="88"/>
        <w:rPr>
          <w:b/>
          <w:szCs w:val="22"/>
        </w:rPr>
      </w:pPr>
      <w:r w:rsidRPr="00927D2F">
        <w:rPr>
          <w:b/>
          <w:szCs w:val="22"/>
        </w:rPr>
        <w:t>PRIMERO</w:t>
      </w:r>
      <w:r w:rsidRPr="00927D2F">
        <w:rPr>
          <w:szCs w:val="22"/>
        </w:rPr>
        <w:t xml:space="preserve">.- En cumplimiento del artículo 7 de la Ley de Contabilidad, los poderes Ejecutivo, Legislativo y Judicial de la Federación y Entidades Federativas; las Entidades y los </w:t>
      </w:r>
      <w:r>
        <w:rPr>
          <w:szCs w:val="22"/>
        </w:rPr>
        <w:t>O</w:t>
      </w:r>
      <w:r w:rsidRPr="00927D2F">
        <w:rPr>
          <w:szCs w:val="22"/>
        </w:rPr>
        <w:t>rganos Autónomos deberán adoptar</w:t>
      </w:r>
      <w:r>
        <w:rPr>
          <w:szCs w:val="22"/>
        </w:rPr>
        <w:br/>
      </w:r>
      <w:r w:rsidRPr="00927D2F">
        <w:rPr>
          <w:szCs w:val="22"/>
        </w:rPr>
        <w:t xml:space="preserve">e implementar, con carácter obligatorio, los presentes </w:t>
      </w:r>
      <w:r w:rsidRPr="00927D2F">
        <w:rPr>
          <w:b/>
          <w:szCs w:val="22"/>
        </w:rPr>
        <w:t>Lineamientos para el registro auxiliar sujeto a inventario de bienes arqueológicos, artísticos e históricos bajo custodia de los entes públicos.</w:t>
      </w:r>
    </w:p>
    <w:p w:rsidR="00BA2E90" w:rsidRPr="00927D2F" w:rsidRDefault="00BA2E90" w:rsidP="00BA2E90">
      <w:pPr>
        <w:pStyle w:val="Texto"/>
        <w:spacing w:line="222" w:lineRule="exact"/>
        <w:rPr>
          <w:szCs w:val="22"/>
        </w:rPr>
      </w:pPr>
      <w:r w:rsidRPr="00927D2F">
        <w:rPr>
          <w:b/>
          <w:szCs w:val="22"/>
        </w:rPr>
        <w:t>SEGUNDO</w:t>
      </w:r>
      <w:r w:rsidRPr="00927D2F">
        <w:rPr>
          <w:szCs w:val="22"/>
        </w:rPr>
        <w:t>.- En cumplimiento con los artículos 7 y cuarto transitorio, de la Ley de Contabilidad,</w:t>
      </w:r>
      <w:r>
        <w:rPr>
          <w:szCs w:val="22"/>
        </w:rPr>
        <w:br/>
      </w:r>
      <w:r w:rsidRPr="00927D2F">
        <w:rPr>
          <w:szCs w:val="22"/>
        </w:rPr>
        <w:t xml:space="preserve">los poderes Ejecutivo, Legislativo y Judicial de la Federación y Entidades Federativas; las Entidades y los </w:t>
      </w:r>
      <w:r>
        <w:rPr>
          <w:szCs w:val="22"/>
        </w:rPr>
        <w:t>O</w:t>
      </w:r>
      <w:r w:rsidRPr="00927D2F">
        <w:rPr>
          <w:szCs w:val="22"/>
        </w:rPr>
        <w:t>rganos Autónomos deberán apegarse a los presentes</w:t>
      </w:r>
      <w:r w:rsidRPr="00927D2F">
        <w:rPr>
          <w:b/>
          <w:szCs w:val="22"/>
        </w:rPr>
        <w:t xml:space="preserve"> Lineamientos para el registro auxiliar sujeto a inventario de bienes arqueológicos, artísticos e históricos bajo custodia de los entes públicos </w:t>
      </w:r>
      <w:r w:rsidRPr="00927D2F">
        <w:rPr>
          <w:szCs w:val="22"/>
        </w:rPr>
        <w:t>a más tardar el 31 de diciembre de 2012.</w:t>
      </w:r>
    </w:p>
    <w:p w:rsidR="00BA2E90" w:rsidRPr="00927D2F" w:rsidRDefault="00BA2E90" w:rsidP="00BA2E90">
      <w:pPr>
        <w:pStyle w:val="Texto"/>
        <w:spacing w:line="222" w:lineRule="exact"/>
        <w:rPr>
          <w:szCs w:val="22"/>
        </w:rPr>
      </w:pPr>
      <w:r w:rsidRPr="00927D2F">
        <w:rPr>
          <w:b/>
          <w:szCs w:val="22"/>
        </w:rPr>
        <w:t>TERCERO</w:t>
      </w:r>
      <w:r w:rsidRPr="00927D2F">
        <w:rPr>
          <w:szCs w:val="22"/>
        </w:rPr>
        <w:t>.- Al adoptar e implementar los presentes</w:t>
      </w:r>
      <w:r w:rsidRPr="00927D2F">
        <w:rPr>
          <w:b/>
          <w:szCs w:val="22"/>
        </w:rPr>
        <w:t xml:space="preserve"> Lineamientos para el registro auxiliar sujeto a inventario de bienes arqueológicos, artísticos e históricos bajo custodia de los entes públicos</w:t>
      </w:r>
      <w:r w:rsidRPr="00927D2F">
        <w:rPr>
          <w:szCs w:val="22"/>
        </w:rPr>
        <w:t>, las autoridades en materia de contabilidad gubernamental en los poderes ejecutivos Federal, Estatal y Ayuntamientos de los Municipios establecerán la forma en que las entidades paraestatales y paramunicipales, respectivamente, atendiendo a su naturaleza, se ajustarán a las mismas. Lo anterior, en tanto el CONAC emite lo conducente.</w:t>
      </w:r>
    </w:p>
    <w:p w:rsidR="00BA2E90" w:rsidRPr="00927D2F" w:rsidRDefault="00BA2E90" w:rsidP="00BA2E90">
      <w:pPr>
        <w:pStyle w:val="Texto"/>
        <w:spacing w:line="222" w:lineRule="exact"/>
        <w:rPr>
          <w:b/>
          <w:szCs w:val="22"/>
        </w:rPr>
      </w:pPr>
      <w:r w:rsidRPr="00927D2F">
        <w:rPr>
          <w:b/>
          <w:szCs w:val="22"/>
        </w:rPr>
        <w:t>CUARTO.-</w:t>
      </w:r>
      <w:r>
        <w:rPr>
          <w:b/>
          <w:szCs w:val="22"/>
        </w:rPr>
        <w:t xml:space="preserve"> </w:t>
      </w:r>
      <w:r w:rsidRPr="00927D2F">
        <w:rPr>
          <w:szCs w:val="22"/>
        </w:rPr>
        <w:t xml:space="preserve">En cumplimiento con los artículos 7 y quinto transitorio de la Ley de Contabilidad, los ayuntamientos de los municipios y los órganos político-administrativos de las demarcaciones territoriales del Distrito Federal deberán adoptar e implementar, con carácter obligatorio, los presentes </w:t>
      </w:r>
      <w:r w:rsidRPr="00927D2F">
        <w:rPr>
          <w:b/>
          <w:szCs w:val="22"/>
        </w:rPr>
        <w:t>Lineamientos para el registro auxiliar sujeto a inventario de bienes arqueológicos, artísticos e históricos bajo custodia de los entes públicos.</w:t>
      </w:r>
    </w:p>
    <w:p w:rsidR="00BA2E90" w:rsidRPr="00927D2F" w:rsidRDefault="00BA2E90" w:rsidP="00BA2E90">
      <w:pPr>
        <w:pStyle w:val="Texto"/>
        <w:spacing w:line="222" w:lineRule="exact"/>
        <w:rPr>
          <w:szCs w:val="22"/>
        </w:rPr>
      </w:pPr>
      <w:r w:rsidRPr="00927D2F">
        <w:rPr>
          <w:b/>
          <w:szCs w:val="22"/>
        </w:rPr>
        <w:t>QUINTO</w:t>
      </w:r>
      <w:r w:rsidRPr="00927D2F">
        <w:rPr>
          <w:szCs w:val="22"/>
        </w:rPr>
        <w:t>.-</w:t>
      </w:r>
      <w:r>
        <w:rPr>
          <w:szCs w:val="22"/>
        </w:rPr>
        <w:t xml:space="preserve"> </w:t>
      </w:r>
      <w:r w:rsidRPr="00927D2F">
        <w:rPr>
          <w:szCs w:val="22"/>
        </w:rPr>
        <w:t xml:space="preserve">En cumplimiento con los artículos 7 y quinto transitorio de la Ley de Contabilidad, los Ayuntamientos de los Municipios y los órganos político-administrativos de las demarcaciones territoriales del Distrito Federal deberán apegarse a los </w:t>
      </w:r>
      <w:r w:rsidRPr="00927D2F">
        <w:rPr>
          <w:b/>
          <w:szCs w:val="22"/>
        </w:rPr>
        <w:t>Lineamientos para el registro auxiliar sujeto a inventario</w:t>
      </w:r>
      <w:r>
        <w:rPr>
          <w:b/>
          <w:szCs w:val="22"/>
        </w:rPr>
        <w:t xml:space="preserve"> </w:t>
      </w:r>
      <w:r w:rsidRPr="00927D2F">
        <w:rPr>
          <w:b/>
          <w:szCs w:val="22"/>
        </w:rPr>
        <w:t>de bienes arqueológicos, artísticos e históricos bajo custodia de los entes públicos</w:t>
      </w:r>
      <w:r w:rsidRPr="00927D2F">
        <w:rPr>
          <w:szCs w:val="22"/>
        </w:rPr>
        <w:t xml:space="preserve"> a más tardar el 31</w:t>
      </w:r>
      <w:r>
        <w:rPr>
          <w:szCs w:val="22"/>
        </w:rPr>
        <w:br/>
      </w:r>
      <w:r w:rsidRPr="00927D2F">
        <w:rPr>
          <w:szCs w:val="22"/>
        </w:rPr>
        <w:t>de diciembre de 2012.</w:t>
      </w:r>
    </w:p>
    <w:p w:rsidR="00BA2E90" w:rsidRPr="00927D2F" w:rsidRDefault="00BA2E90" w:rsidP="00BA2E90">
      <w:pPr>
        <w:pStyle w:val="Texto"/>
        <w:spacing w:line="222" w:lineRule="exact"/>
        <w:rPr>
          <w:szCs w:val="22"/>
        </w:rPr>
      </w:pPr>
      <w:r w:rsidRPr="00927D2F">
        <w:rPr>
          <w:b/>
          <w:szCs w:val="22"/>
        </w:rPr>
        <w:t>SEXTO</w:t>
      </w:r>
      <w:r w:rsidRPr="00927D2F">
        <w:rPr>
          <w:szCs w:val="22"/>
        </w:rPr>
        <w:t>.- De conformidad con los artículos 1 y 7 de la Ley de Contabilidad, los gobiernos de las Entidades Federativas deberán adoptar e implementar las decisiones del CONAC, vía la adecuación de sus marcos jurídicos, lo cual podría consistir en la eventual modificación o formulación de leyes o disposiciones administrativas de carácter local, según sea el caso.</w:t>
      </w:r>
    </w:p>
    <w:p w:rsidR="00BA2E90" w:rsidRPr="00927D2F" w:rsidRDefault="00BA2E90" w:rsidP="00BA2E90">
      <w:pPr>
        <w:pStyle w:val="Texto"/>
        <w:spacing w:line="222" w:lineRule="exact"/>
        <w:rPr>
          <w:szCs w:val="22"/>
        </w:rPr>
      </w:pPr>
      <w:r w:rsidRPr="00927D2F">
        <w:rPr>
          <w:b/>
          <w:szCs w:val="22"/>
        </w:rPr>
        <w:t>S</w:t>
      </w:r>
      <w:r>
        <w:rPr>
          <w:b/>
          <w:szCs w:val="22"/>
        </w:rPr>
        <w:t>E</w:t>
      </w:r>
      <w:r w:rsidRPr="00927D2F">
        <w:rPr>
          <w:b/>
          <w:szCs w:val="22"/>
        </w:rPr>
        <w:t>PTIMO</w:t>
      </w:r>
      <w:r w:rsidRPr="00927D2F">
        <w:rPr>
          <w:szCs w:val="22"/>
        </w:rPr>
        <w:t>.- De acuerdo con lo previsto en el artículo 1 de la Ley de Contabilidad, los gobiernos de las Entidades Federativas deberán coordinarse con los gobiernos Municipales para que logren contar con un marco contable armonizado, a través del intercambio de información y experiencias entre ambos órdenes de gobierno.</w:t>
      </w:r>
    </w:p>
    <w:p w:rsidR="00BA2E90" w:rsidRPr="00927D2F" w:rsidRDefault="00BA2E90" w:rsidP="00BA2E90">
      <w:pPr>
        <w:pStyle w:val="Texto"/>
        <w:spacing w:line="222" w:lineRule="exact"/>
        <w:rPr>
          <w:szCs w:val="22"/>
        </w:rPr>
      </w:pPr>
      <w:r w:rsidRPr="00927D2F">
        <w:rPr>
          <w:b/>
          <w:szCs w:val="22"/>
        </w:rPr>
        <w:t>OCTAVO</w:t>
      </w:r>
      <w:r w:rsidRPr="00927D2F">
        <w:rPr>
          <w:szCs w:val="22"/>
        </w:rPr>
        <w:t xml:space="preserve">.- </w:t>
      </w:r>
      <w:r w:rsidRPr="007D4F6B">
        <w:rPr>
          <w:spacing w:val="-3"/>
          <w:szCs w:val="22"/>
        </w:rPr>
        <w:t xml:space="preserve">En términos de los artículos 7 y 15 de la Ley de Contabilidad, el Secretario Técnico llevará un registro público en una página de Internet de los actos que los gobiernos de las Entidades Federativas, Municipios y demarcaciones territoriales del Distrito Federal realicen para la adopción e implementación de los presentes lineamientos. Para tales efectos, los gobiernos de las Entidades Federativas, los Municipios y las demarcaciones territoriales del Distrito Federal remitirán al Secretario Técnico la información relacionada con dichos actos. Dicha </w:t>
      </w:r>
      <w:r w:rsidRPr="007D4F6B">
        <w:rPr>
          <w:spacing w:val="-3"/>
          <w:szCs w:val="22"/>
        </w:rPr>
        <w:lastRenderedPageBreak/>
        <w:t xml:space="preserve">información deberá ser enviada a la dirección electrónica </w:t>
      </w:r>
      <w:r w:rsidRPr="007D4F6B">
        <w:rPr>
          <w:spacing w:val="-3"/>
          <w:szCs w:val="22"/>
          <w:u w:val="single"/>
        </w:rPr>
        <w:t>conac_sriotecnico@hacienda.gob.mx</w:t>
      </w:r>
      <w:r w:rsidRPr="00927D2F">
        <w:rPr>
          <w:szCs w:val="22"/>
        </w:rPr>
        <w:t>, dentro de un plazo de 15 días hábiles contados a partir de la conclusión del plazo fijado por el CONAC.</w:t>
      </w:r>
    </w:p>
    <w:p w:rsidR="00BA2E90" w:rsidRPr="00927D2F" w:rsidRDefault="00BA2E90" w:rsidP="00BA2E90">
      <w:pPr>
        <w:pStyle w:val="Texto"/>
        <w:spacing w:line="222" w:lineRule="exact"/>
        <w:rPr>
          <w:szCs w:val="22"/>
        </w:rPr>
      </w:pPr>
      <w:r w:rsidRPr="00927D2F">
        <w:rPr>
          <w:b/>
          <w:szCs w:val="22"/>
        </w:rPr>
        <w:t>NOVENO</w:t>
      </w:r>
      <w:r w:rsidRPr="00927D2F">
        <w:rPr>
          <w:szCs w:val="22"/>
        </w:rPr>
        <w:t>.- En términos del artículo 15 de la Ley de Contabilidad, las Entidades Federativas y Municipios sólo podrán inscribir sus obligaciones en el Registro de Obligaciones y Empréstitos si se encuentran al corriente con las obligaciones contenidas en la Ley de Contabilidad.</w:t>
      </w:r>
    </w:p>
    <w:p w:rsidR="00BA2E90" w:rsidRPr="00927D2F" w:rsidRDefault="00BA2E90" w:rsidP="00BA2E90">
      <w:pPr>
        <w:pStyle w:val="Texto"/>
        <w:spacing w:line="222" w:lineRule="exact"/>
        <w:rPr>
          <w:szCs w:val="22"/>
        </w:rPr>
      </w:pPr>
      <w:r w:rsidRPr="00927D2F">
        <w:rPr>
          <w:b/>
          <w:szCs w:val="22"/>
        </w:rPr>
        <w:t>D</w:t>
      </w:r>
      <w:r>
        <w:rPr>
          <w:b/>
          <w:szCs w:val="22"/>
        </w:rPr>
        <w:t>E</w:t>
      </w:r>
      <w:r w:rsidRPr="00927D2F">
        <w:rPr>
          <w:b/>
          <w:szCs w:val="22"/>
        </w:rPr>
        <w:t>CIMO</w:t>
      </w:r>
      <w:r w:rsidRPr="00927D2F">
        <w:rPr>
          <w:szCs w:val="22"/>
        </w:rPr>
        <w:t>.- En cumplimiento a lo dispuesto por el artículo 7, segundo párrafo de la Ley de Contabilidad, los presentes</w:t>
      </w:r>
      <w:r w:rsidRPr="00927D2F">
        <w:rPr>
          <w:b/>
          <w:szCs w:val="22"/>
        </w:rPr>
        <w:t xml:space="preserve"> Lineamientos para el registro auxiliar sujeto a inventario de bienes arqueológicos, artísticos e históricos bajo custodia de los entes públicos</w:t>
      </w:r>
      <w:r w:rsidRPr="00927D2F">
        <w:rPr>
          <w:szCs w:val="22"/>
        </w:rPr>
        <w:t>, serán publicados en el Diario Oficial de la Federación, así como en los medios oficiales de difusión escritos y electrónicos de las Entidades Federativas, Municipios y demarcaciones territoriales del Distrito Federal.</w:t>
      </w:r>
    </w:p>
    <w:p w:rsidR="00BA2E90" w:rsidRPr="00EF4416" w:rsidRDefault="00BA2E90" w:rsidP="00BA2E90">
      <w:pPr>
        <w:pStyle w:val="Texto"/>
        <w:spacing w:after="0" w:line="240" w:lineRule="auto"/>
        <w:ind w:firstLine="0"/>
        <w:rPr>
          <w:rFonts w:cs="Arial"/>
          <w:szCs w:val="24"/>
          <w:lang w:val="es-MX"/>
        </w:rPr>
      </w:pPr>
      <w:r w:rsidRPr="00927D2F">
        <w:rPr>
          <w:szCs w:val="22"/>
        </w:rPr>
        <w:t xml:space="preserve">En la Ciudad de México, Distrito Federal, siendo las trece horas con treinta minutos del día 31 de julio del año dos mil doce, con fundamento en los artículos 11 de la Ley General de Contabilidad Gubernamental, 12, fracción IV, y 64 del Reglamento Interior de la Secretaría de Hacienda y Crédito Público, el Titular de la Unidad de Contabilidad Gubernamental e Informes sobre la Gestión Pública de la Subsecretaría de Egresos de la Secretaría de Hacienda y Crédito Público, en mi calidad de Secretario Técnico del Consejo Nacional de Armonización Contable, </w:t>
      </w:r>
      <w:r w:rsidRPr="00927D2F">
        <w:rPr>
          <w:b/>
          <w:szCs w:val="22"/>
        </w:rPr>
        <w:t>HAGO CONSTAR</w:t>
      </w:r>
      <w:r w:rsidRPr="00927D2F">
        <w:rPr>
          <w:szCs w:val="22"/>
        </w:rPr>
        <w:t xml:space="preserve"> </w:t>
      </w:r>
      <w:r w:rsidRPr="00927D2F">
        <w:rPr>
          <w:b/>
          <w:szCs w:val="22"/>
        </w:rPr>
        <w:t>Y CERTIFICO</w:t>
      </w:r>
      <w:r w:rsidRPr="00927D2F">
        <w:rPr>
          <w:szCs w:val="22"/>
        </w:rPr>
        <w:t xml:space="preserve"> que el documento consistente en 8 fojas útiles, impresas por el anverso, rubricadas y cotejadas, denominado </w:t>
      </w:r>
      <w:r w:rsidRPr="00927D2F">
        <w:rPr>
          <w:b/>
          <w:szCs w:val="22"/>
        </w:rPr>
        <w:t>Lineamientos para el registro auxiliar sujeto a inventario de bienes arqueológicos, artísticos e históricos bajo custodia de los entes públicos</w:t>
      </w:r>
      <w:r w:rsidRPr="00927D2F">
        <w:rPr>
          <w:szCs w:val="22"/>
        </w:rPr>
        <w:t xml:space="preserve">, corresponde con el texto aprobado por el Consejo Nacional de Armonización Contable, mismo que estuvo a la vista de los integrantes de dicho Consejo en su segunda reunión celebrada, en segunda convocatoria, este 31 de julio del presente año, situación que se </w:t>
      </w:r>
      <w:r w:rsidRPr="00EF4416">
        <w:rPr>
          <w:rFonts w:cs="Arial"/>
          <w:szCs w:val="24"/>
          <w:lang w:val="es-MX"/>
        </w:rPr>
        <w:t>certifica para los efectos legales conducentes.- El Secretario Técnico del Consejo Nacional de Armonización Contable, José Alfonso Medina y Medina.- Rúbrica.</w:t>
      </w:r>
    </w:p>
    <w:p w:rsidR="00BA2E90" w:rsidRPr="00EF4416" w:rsidRDefault="00BA2E90" w:rsidP="00BA2E90">
      <w:pPr>
        <w:spacing w:before="0" w:after="0"/>
        <w:jc w:val="both"/>
        <w:rPr>
          <w:rFonts w:ascii="Arial" w:hAnsi="Arial" w:cs="Arial"/>
          <w:sz w:val="18"/>
        </w:rPr>
      </w:pPr>
    </w:p>
    <w:p w:rsidR="00323FA1" w:rsidRDefault="00323FA1"/>
    <w:sectPr w:rsidR="00323FA1" w:rsidSect="00604C11">
      <w:headerReference w:type="even" r:id="rId7"/>
      <w:headerReference w:type="default" r:id="rId8"/>
      <w:pgSz w:w="12240" w:h="15840" w:code="1"/>
      <w:pgMar w:top="1152" w:right="1699" w:bottom="1296" w:left="1699" w:header="706" w:footer="706" w:gutter="0"/>
      <w:pgNumType w:start="2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513B2" w:rsidRDefault="007513B2" w:rsidP="00CB197A">
      <w:pPr>
        <w:spacing w:before="0" w:after="0"/>
      </w:pPr>
      <w:r>
        <w:separator/>
      </w:r>
    </w:p>
  </w:endnote>
  <w:endnote w:type="continuationSeparator" w:id="0">
    <w:p w:rsidR="007513B2" w:rsidRDefault="007513B2" w:rsidP="00CB197A">
      <w:pPr>
        <w:spacing w:before="0"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513B2" w:rsidRDefault="007513B2" w:rsidP="00CB197A">
      <w:pPr>
        <w:spacing w:before="0" w:after="0"/>
      </w:pPr>
      <w:r>
        <w:separator/>
      </w:r>
    </w:p>
  </w:footnote>
  <w:footnote w:type="continuationSeparator" w:id="0">
    <w:p w:rsidR="007513B2" w:rsidRDefault="007513B2" w:rsidP="00CB197A">
      <w:pPr>
        <w:spacing w:before="0"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4C11" w:rsidRDefault="00EE3CE4" w:rsidP="00604C11">
    <w:pPr>
      <w:pStyle w:val="Fechas"/>
    </w:pPr>
    <w:fldSimple w:instr="PAGE   \* MERGEFORMAT">
      <w:r w:rsidR="00604C11" w:rsidRPr="002C6662">
        <w:rPr>
          <w:noProof/>
          <w:lang w:val="es-ES"/>
        </w:rPr>
        <w:t>22</w:t>
      </w:r>
    </w:fldSimple>
    <w:r w:rsidR="00604C11">
      <w:t xml:space="preserve">     (Primera Sección)</w:t>
    </w:r>
    <w:r w:rsidR="00604C11">
      <w:tab/>
      <w:t>DIARIO OFICIAL</w:t>
    </w:r>
    <w:r w:rsidR="00604C11">
      <w:tab/>
      <w:t>Miércoles 15 de agosto de 2012</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4C11" w:rsidRDefault="00604C11" w:rsidP="00604C11">
    <w:pPr>
      <w:pStyle w:val="Fechas"/>
    </w:pPr>
    <w:r>
      <w:t>Miércoles 15 de agosto de 2012</w:t>
    </w:r>
    <w:r>
      <w:tab/>
      <w:t>DIARIO OFICIAL</w:t>
    </w:r>
    <w:r>
      <w:tab/>
      <w:t xml:space="preserve">(Primera Sección)     </w:t>
    </w:r>
    <w:fldSimple w:instr="PAGE   \* MERGEFORMAT">
      <w:r w:rsidR="00AB5425" w:rsidRPr="00AB5425">
        <w:rPr>
          <w:noProof/>
          <w:lang w:val="es-ES"/>
        </w:rPr>
        <w:t>21</w:t>
      </w:r>
    </w:fldSimple>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hyphenationZone w:val="425"/>
  <w:characterSpacingControl w:val="doNotCompress"/>
  <w:footnotePr>
    <w:footnote w:id="-1"/>
    <w:footnote w:id="0"/>
  </w:footnotePr>
  <w:endnotePr>
    <w:endnote w:id="-1"/>
    <w:endnote w:id="0"/>
  </w:endnotePr>
  <w:compat/>
  <w:rsids>
    <w:rsidRoot w:val="00BA2E90"/>
    <w:rsid w:val="00075AA0"/>
    <w:rsid w:val="000F7A05"/>
    <w:rsid w:val="001F6FE7"/>
    <w:rsid w:val="00213BF9"/>
    <w:rsid w:val="00262718"/>
    <w:rsid w:val="002C151A"/>
    <w:rsid w:val="00323FA1"/>
    <w:rsid w:val="00351EC1"/>
    <w:rsid w:val="00361B36"/>
    <w:rsid w:val="00383CAE"/>
    <w:rsid w:val="003D4959"/>
    <w:rsid w:val="004D750F"/>
    <w:rsid w:val="00514078"/>
    <w:rsid w:val="00563B00"/>
    <w:rsid w:val="00604C11"/>
    <w:rsid w:val="006524C3"/>
    <w:rsid w:val="00692BA0"/>
    <w:rsid w:val="006B1679"/>
    <w:rsid w:val="006F6355"/>
    <w:rsid w:val="007513B2"/>
    <w:rsid w:val="007904B8"/>
    <w:rsid w:val="00793C55"/>
    <w:rsid w:val="008100B9"/>
    <w:rsid w:val="008642B7"/>
    <w:rsid w:val="008B02D2"/>
    <w:rsid w:val="008F6BF3"/>
    <w:rsid w:val="00923AAC"/>
    <w:rsid w:val="00930EFE"/>
    <w:rsid w:val="00934938"/>
    <w:rsid w:val="009C19A2"/>
    <w:rsid w:val="00AB5425"/>
    <w:rsid w:val="00B172E4"/>
    <w:rsid w:val="00BA20A9"/>
    <w:rsid w:val="00BA2E90"/>
    <w:rsid w:val="00BB3C72"/>
    <w:rsid w:val="00BE59F0"/>
    <w:rsid w:val="00C04E33"/>
    <w:rsid w:val="00C07AC7"/>
    <w:rsid w:val="00C323E5"/>
    <w:rsid w:val="00E1278A"/>
    <w:rsid w:val="00E750E7"/>
    <w:rsid w:val="00EE3CE4"/>
    <w:rsid w:val="00F82625"/>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s-MX"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3FA1"/>
    <w:pPr>
      <w:spacing w:before="100" w:beforeAutospacing="1" w:after="100" w:afterAutospacing="1"/>
    </w:pPr>
    <w:rPr>
      <w:sz w:val="22"/>
      <w:szCs w:val="22"/>
      <w:lang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exto">
    <w:name w:val="Texto"/>
    <w:basedOn w:val="Normal"/>
    <w:link w:val="TextoCar"/>
    <w:rsid w:val="00BA2E90"/>
    <w:pPr>
      <w:spacing w:before="0" w:beforeAutospacing="0" w:after="101" w:afterAutospacing="0" w:line="216" w:lineRule="exact"/>
      <w:ind w:firstLine="288"/>
      <w:jc w:val="both"/>
    </w:pPr>
    <w:rPr>
      <w:rFonts w:ascii="Arial" w:eastAsia="Times New Roman" w:hAnsi="Arial"/>
      <w:sz w:val="18"/>
      <w:szCs w:val="20"/>
      <w:lang w:val="es-ES" w:eastAsia="es-ES"/>
    </w:rPr>
  </w:style>
  <w:style w:type="paragraph" w:customStyle="1" w:styleId="ROMANOS">
    <w:name w:val="ROMANOS"/>
    <w:basedOn w:val="Normal"/>
    <w:link w:val="ROMANOSCar"/>
    <w:rsid w:val="00BA2E90"/>
    <w:pPr>
      <w:tabs>
        <w:tab w:val="left" w:pos="720"/>
      </w:tabs>
      <w:spacing w:before="0" w:beforeAutospacing="0" w:after="101" w:afterAutospacing="0" w:line="216" w:lineRule="exact"/>
      <w:ind w:left="720" w:hanging="432"/>
      <w:jc w:val="both"/>
    </w:pPr>
    <w:rPr>
      <w:rFonts w:ascii="Arial" w:eastAsia="Times New Roman" w:hAnsi="Arial"/>
      <w:sz w:val="18"/>
      <w:szCs w:val="18"/>
      <w:lang w:val="es-ES" w:eastAsia="es-ES"/>
    </w:rPr>
  </w:style>
  <w:style w:type="paragraph" w:customStyle="1" w:styleId="Fechas">
    <w:name w:val="Fechas"/>
    <w:basedOn w:val="Texto"/>
    <w:autoRedefine/>
    <w:rsid w:val="00BA2E90"/>
    <w:pPr>
      <w:widowControl w:val="0"/>
      <w:pBdr>
        <w:bottom w:val="double" w:sz="6" w:space="1" w:color="auto"/>
      </w:pBdr>
      <w:tabs>
        <w:tab w:val="center" w:pos="4464"/>
        <w:tab w:val="right" w:pos="8582"/>
      </w:tabs>
      <w:spacing w:after="0" w:line="240" w:lineRule="auto"/>
      <w:ind w:left="288" w:right="288" w:firstLine="0"/>
    </w:pPr>
    <w:rPr>
      <w:rFonts w:ascii="Times New Roman" w:hAnsi="Times New Roman"/>
      <w:snapToGrid w:val="0"/>
      <w:lang w:val="es-MX" w:eastAsia="es-MX"/>
    </w:rPr>
  </w:style>
  <w:style w:type="paragraph" w:customStyle="1" w:styleId="ANOTACION">
    <w:name w:val="ANOTACION"/>
    <w:basedOn w:val="Normal"/>
    <w:link w:val="ANOTACIONCar"/>
    <w:rsid w:val="00BA2E90"/>
    <w:pPr>
      <w:spacing w:before="101" w:beforeAutospacing="0" w:after="101" w:afterAutospacing="0" w:line="216" w:lineRule="atLeast"/>
      <w:jc w:val="center"/>
    </w:pPr>
    <w:rPr>
      <w:rFonts w:ascii="Times New Roman" w:eastAsia="Times New Roman" w:hAnsi="Times New Roman"/>
      <w:b/>
      <w:sz w:val="18"/>
      <w:szCs w:val="20"/>
      <w:lang w:val="es-ES_tradnl" w:eastAsia="es-ES"/>
    </w:rPr>
  </w:style>
  <w:style w:type="paragraph" w:customStyle="1" w:styleId="Titulo1">
    <w:name w:val="Titulo 1"/>
    <w:basedOn w:val="Texto"/>
    <w:rsid w:val="00BA2E90"/>
    <w:pPr>
      <w:pBdr>
        <w:bottom w:val="single" w:sz="12" w:space="1" w:color="auto"/>
      </w:pBdr>
      <w:spacing w:before="120" w:after="0" w:line="240" w:lineRule="auto"/>
      <w:ind w:firstLine="0"/>
      <w:outlineLvl w:val="0"/>
    </w:pPr>
    <w:rPr>
      <w:rFonts w:ascii="Times New Roman" w:hAnsi="Times New Roman"/>
      <w:b/>
      <w:szCs w:val="18"/>
      <w:lang w:val="es-MX" w:eastAsia="es-MX"/>
    </w:rPr>
  </w:style>
  <w:style w:type="character" w:customStyle="1" w:styleId="TextoCar">
    <w:name w:val="Texto Car"/>
    <w:link w:val="Texto"/>
    <w:locked/>
    <w:rsid w:val="00BA2E90"/>
    <w:rPr>
      <w:rFonts w:ascii="Arial" w:eastAsia="Times New Roman" w:hAnsi="Arial" w:cs="Arial"/>
      <w:sz w:val="18"/>
      <w:szCs w:val="20"/>
      <w:lang w:val="es-ES" w:eastAsia="es-ES"/>
    </w:rPr>
  </w:style>
  <w:style w:type="character" w:customStyle="1" w:styleId="ROMANOSCar">
    <w:name w:val="ROMANOS Car"/>
    <w:link w:val="ROMANOS"/>
    <w:locked/>
    <w:rsid w:val="00BA2E90"/>
    <w:rPr>
      <w:rFonts w:ascii="Arial" w:eastAsia="Times New Roman" w:hAnsi="Arial" w:cs="Arial"/>
      <w:sz w:val="18"/>
      <w:szCs w:val="18"/>
      <w:lang w:val="es-ES" w:eastAsia="es-ES"/>
    </w:rPr>
  </w:style>
  <w:style w:type="character" w:customStyle="1" w:styleId="ANOTACIONCar">
    <w:name w:val="ANOTACION Car"/>
    <w:link w:val="ANOTACION"/>
    <w:locked/>
    <w:rsid w:val="00BA2E90"/>
    <w:rPr>
      <w:rFonts w:ascii="Times New Roman" w:eastAsia="Times New Roman" w:hAnsi="Times New Roman" w:cs="Times New Roman"/>
      <w:b/>
      <w:sz w:val="18"/>
      <w:szCs w:val="20"/>
      <w:lang w:val="es-ES_tradnl" w:eastAsia="es-E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3129</Words>
  <Characters>17214</Characters>
  <Application>Microsoft Office Word</Application>
  <DocSecurity>0</DocSecurity>
  <Lines>143</Lines>
  <Paragraphs>40</Paragraphs>
  <ScaleCrop>false</ScaleCrop>
  <HeadingPairs>
    <vt:vector size="2" baseType="variant">
      <vt:variant>
        <vt:lpstr>Título</vt:lpstr>
      </vt:variant>
      <vt:variant>
        <vt:i4>1</vt:i4>
      </vt:variant>
    </vt:vector>
  </HeadingPairs>
  <TitlesOfParts>
    <vt:vector size="1" baseType="lpstr">
      <vt:lpstr/>
    </vt:vector>
  </TitlesOfParts>
  <Company>shcp</Company>
  <LinksUpToDate>false</LinksUpToDate>
  <CharactersWithSpaces>20303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Chuerta</dc:creator>
  <cp:lastModifiedBy>David Arizmendi Parra</cp:lastModifiedBy>
  <cp:revision>2</cp:revision>
  <dcterms:created xsi:type="dcterms:W3CDTF">2013-10-05T01:37:00Z</dcterms:created>
  <dcterms:modified xsi:type="dcterms:W3CDTF">2013-10-05T01:37:00Z</dcterms:modified>
</cp:coreProperties>
</file>