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107" w:rsidRPr="00A85EC2" w:rsidRDefault="002B1107" w:rsidP="002B1107">
      <w:pPr>
        <w:pStyle w:val="Titulo1"/>
        <w:rPr>
          <w:rFonts w:cs="Times New Roman"/>
        </w:rPr>
      </w:pPr>
      <w:r w:rsidRPr="00A85EC2">
        <w:rPr>
          <w:rFonts w:cs="Times New Roman"/>
        </w:rPr>
        <w:t>ACUERDO que reforma las Principales Reglas de Registro y Valoración del Patrimonio (Elementos Generales) publicado el 27 de diciembre de 2010.</w:t>
      </w:r>
    </w:p>
    <w:p w:rsidR="002B1107" w:rsidRDefault="002B1107" w:rsidP="002B1107">
      <w:pPr>
        <w:pStyle w:val="Texto"/>
      </w:pPr>
    </w:p>
    <w:p w:rsidR="002B1107" w:rsidRDefault="002B1107" w:rsidP="00B049E3">
      <w:pPr>
        <w:pStyle w:val="Texto"/>
        <w:spacing w:line="246" w:lineRule="exact"/>
        <w:rPr>
          <w:szCs w:val="18"/>
        </w:rPr>
      </w:pPr>
      <w:r w:rsidRPr="002B1107">
        <w:rPr>
          <w:szCs w:val="18"/>
        </w:rPr>
        <w:t>El Consejo Nacional de Armonización Contable con fundamento en los artículos 6, 7, y 9, fracción I, de la Ley General de Contabilidad Gubernamental, aprobó el siguiente:</w:t>
      </w:r>
    </w:p>
    <w:p w:rsidR="002B1107" w:rsidRDefault="002B1107" w:rsidP="00B049E3">
      <w:pPr>
        <w:pStyle w:val="ANOTACION"/>
        <w:spacing w:line="246" w:lineRule="exact"/>
      </w:pPr>
      <w:r w:rsidRPr="002B1107">
        <w:t>ACUERDO QUE REFORMA LAS PRINCIPALES REGLAS DE REGISTRO Y VALORACIÓN DEL PATRIMONIO (ELEMENTOS GENERALES) PUBLICADO EN EL DIARIO OFICIAL</w:t>
      </w:r>
      <w:r w:rsidR="00A85EC2">
        <w:t xml:space="preserve"> </w:t>
      </w:r>
      <w:r w:rsidRPr="002B1107">
        <w:t>DE LA FEDERACIÓN (DOF) EL 27 DE DICIEMBRE DE 2010</w:t>
      </w:r>
    </w:p>
    <w:p w:rsidR="002B1107" w:rsidRDefault="002B1107" w:rsidP="00B049E3">
      <w:pPr>
        <w:pStyle w:val="Texto"/>
        <w:spacing w:line="246" w:lineRule="exact"/>
        <w:rPr>
          <w:szCs w:val="18"/>
        </w:rPr>
      </w:pPr>
      <w:r w:rsidRPr="002B1107">
        <w:rPr>
          <w:szCs w:val="18"/>
        </w:rPr>
        <w:t>De conformidad al artículo 27 de la Ley General de Contabilidad Gubernamental (LGCG) los entes públicos deberán:</w:t>
      </w:r>
    </w:p>
    <w:p w:rsidR="002B1107" w:rsidRPr="002B1107" w:rsidRDefault="002B1107" w:rsidP="00B049E3">
      <w:pPr>
        <w:pStyle w:val="Texto"/>
        <w:spacing w:line="246" w:lineRule="exact"/>
        <w:rPr>
          <w:szCs w:val="18"/>
        </w:rPr>
      </w:pPr>
      <w:r w:rsidRPr="002B1107">
        <w:rPr>
          <w:szCs w:val="18"/>
        </w:rPr>
        <w:t>“Artículo 27.- Los entes públicos deberán llevar a cabo el levantamiento físico del inventario de los bienes a que se refiere el artículo 23 de esta Ley. Dicho inventario deberá estar debidamente conciliado con el registro contable. En el caso de los bienes inmuebles, no podrá establecerse un valor inferior al catastral que le corresponda.”</w:t>
      </w:r>
    </w:p>
    <w:p w:rsidR="002B1107" w:rsidRPr="002B1107" w:rsidRDefault="002B1107" w:rsidP="00B049E3">
      <w:pPr>
        <w:pStyle w:val="Texto"/>
        <w:spacing w:line="246" w:lineRule="exact"/>
        <w:rPr>
          <w:szCs w:val="18"/>
        </w:rPr>
      </w:pPr>
      <w:r w:rsidRPr="002B1107">
        <w:rPr>
          <w:szCs w:val="18"/>
        </w:rPr>
        <w:t>Tomando en cuenta que se requiere un valor catastral, para el caso de la Federación y sus entes públicos se considera que el valor catastral sería el determinado por el Instituto de Administración y Avalúos de Bienes Nacionales (INDAABIN), ello en razón de lo siguiente:</w:t>
      </w:r>
    </w:p>
    <w:p w:rsidR="002B1107" w:rsidRPr="004061BE" w:rsidRDefault="002B1107" w:rsidP="00B049E3">
      <w:pPr>
        <w:pStyle w:val="Texto"/>
        <w:spacing w:line="246" w:lineRule="exact"/>
        <w:rPr>
          <w:szCs w:val="18"/>
        </w:rPr>
      </w:pPr>
      <w:r w:rsidRPr="002B1107">
        <w:rPr>
          <w:szCs w:val="18"/>
        </w:rPr>
        <w:t xml:space="preserve">El INDAABIN es un órgano desconcentrado de la Secretaría de la Función Pública, que de acuerdo con el artículo 1 de su Reglamento es el encargado de ejercer las atribuciones que a la Secretaría de la Función Pública le confieren la Ley General de Bienes Nacionales y demás leyes, reglamentos y ordenamientos jurídicos de carácter federal, en materia de planeación, política y administración de inmuebles federales, </w:t>
      </w:r>
      <w:r w:rsidRPr="004061BE">
        <w:rPr>
          <w:b/>
          <w:szCs w:val="18"/>
          <w:u w:val="single"/>
        </w:rPr>
        <w:t>avalúos</w:t>
      </w:r>
      <w:r w:rsidRPr="004061BE">
        <w:rPr>
          <w:szCs w:val="18"/>
        </w:rPr>
        <w:t xml:space="preserve">, justipreciaciones de rentas; de inventario, registro y </w:t>
      </w:r>
      <w:r w:rsidRPr="004061BE">
        <w:rPr>
          <w:b/>
          <w:szCs w:val="18"/>
          <w:u w:val="single"/>
        </w:rPr>
        <w:t>catastro del patrimonio inmobiliario</w:t>
      </w:r>
      <w:r w:rsidR="00A85EC2">
        <w:rPr>
          <w:b/>
          <w:szCs w:val="18"/>
          <w:u w:val="single"/>
        </w:rPr>
        <w:t xml:space="preserve"> </w:t>
      </w:r>
      <w:r w:rsidRPr="004061BE">
        <w:rPr>
          <w:b/>
          <w:szCs w:val="18"/>
          <w:u w:val="single"/>
        </w:rPr>
        <w:t>federal y paraestatal</w:t>
      </w:r>
      <w:r w:rsidRPr="004061BE">
        <w:rPr>
          <w:szCs w:val="18"/>
        </w:rPr>
        <w:t>, así como de la vigilancia, control, protección, adquisición, enajenación y afectación de inmuebles federales.</w:t>
      </w:r>
    </w:p>
    <w:p w:rsidR="002B1107" w:rsidRDefault="002B1107" w:rsidP="00B049E3">
      <w:pPr>
        <w:pStyle w:val="Texto"/>
        <w:spacing w:line="246" w:lineRule="exact"/>
        <w:rPr>
          <w:szCs w:val="18"/>
        </w:rPr>
      </w:pPr>
      <w:r w:rsidRPr="002B1107">
        <w:rPr>
          <w:szCs w:val="18"/>
        </w:rPr>
        <w:t>Por lo que es conveniente precisar en las Principales Reglas de Registro y Valoración del Patrimonio (Elementos Generales) que para los bienes inmuebles de la Federación y sus entes públicos el valor catastral a que se refiere el artículo 27 de la LGCG sea el determinado por el INDAABIN o en su caso por la autoridad catastral en el municipio o entidad federativa en el que se encuentre el inmueble.</w:t>
      </w:r>
    </w:p>
    <w:p w:rsidR="002B1107" w:rsidRDefault="002B1107" w:rsidP="00B049E3">
      <w:pPr>
        <w:pStyle w:val="Texto"/>
        <w:spacing w:line="246" w:lineRule="exact"/>
        <w:rPr>
          <w:szCs w:val="18"/>
        </w:rPr>
      </w:pPr>
      <w:r w:rsidRPr="002B1107">
        <w:rPr>
          <w:szCs w:val="18"/>
        </w:rPr>
        <w:t>Por lo antes expuesto, con fundamento en lo dispuesto en el artículo 9, fracción I de la LGCG, se aprobó el Acuerdo que reforma las Principales Reglas de Registro y Valoración del Patrimonio (Elementos Generales) publicado en el DOF el 27 de diciembre de 2010:</w:t>
      </w:r>
    </w:p>
    <w:p w:rsidR="002B1107" w:rsidRDefault="002B1107" w:rsidP="00B049E3">
      <w:pPr>
        <w:pStyle w:val="ANOTACION"/>
        <w:spacing w:line="246" w:lineRule="exact"/>
      </w:pPr>
      <w:r w:rsidRPr="002B1107">
        <w:t>Acuerdo</w:t>
      </w:r>
    </w:p>
    <w:p w:rsidR="002B1107" w:rsidRPr="002B1107" w:rsidRDefault="002B1107" w:rsidP="00B049E3">
      <w:pPr>
        <w:pStyle w:val="Texto"/>
        <w:spacing w:line="246" w:lineRule="exact"/>
        <w:rPr>
          <w:szCs w:val="18"/>
        </w:rPr>
      </w:pPr>
      <w:r w:rsidRPr="002B1107">
        <w:rPr>
          <w:szCs w:val="18"/>
        </w:rPr>
        <w:t>Se reforma las Principales Reglas de Registro y Valoración del Patrimonio (Elementos Generales) publicado en el Diario Oficial de la Federación (DOF) el 27 de diciembre de 2010, para incorporar un último párrafo en el apartado de Bienes Muebles e Inmuebles de la sección V. Valor Inicial y posteriores del Activo, Pasivo y Hacienda Pública/Patrimonio, para quedar en los siguientes términos:</w:t>
      </w:r>
    </w:p>
    <w:p w:rsidR="002B1107" w:rsidRDefault="002B1107" w:rsidP="00B049E3">
      <w:pPr>
        <w:pStyle w:val="Texto"/>
        <w:spacing w:line="246" w:lineRule="exact"/>
        <w:rPr>
          <w:szCs w:val="18"/>
        </w:rPr>
      </w:pPr>
      <w:r w:rsidRPr="002B1107">
        <w:rPr>
          <w:szCs w:val="18"/>
        </w:rPr>
        <w:t>Para los bienes inmuebles de la Federación y sus entes públicos el valor catastral a que se refiere el artículo 27 de la Ley General de Contabilidad Gubernamental será el determinado por el Instituto de Administración y Avalúos de Bienes Nacionales o en su caso por la autoridad catastral en el municipio o entidad federativa en el que se encuentre el inmueble.</w:t>
      </w:r>
    </w:p>
    <w:p w:rsidR="002B1107" w:rsidRDefault="002B1107" w:rsidP="00B049E3">
      <w:pPr>
        <w:pStyle w:val="ANOTACION"/>
        <w:spacing w:line="246" w:lineRule="exact"/>
      </w:pPr>
      <w:r w:rsidRPr="002B1107">
        <w:t>TRANSITORIOS</w:t>
      </w:r>
    </w:p>
    <w:p w:rsidR="002B1107" w:rsidRDefault="002B1107" w:rsidP="00B049E3">
      <w:pPr>
        <w:pStyle w:val="Texto"/>
        <w:spacing w:line="246" w:lineRule="exact"/>
        <w:rPr>
          <w:szCs w:val="18"/>
        </w:rPr>
      </w:pPr>
      <w:r w:rsidRPr="002B1107">
        <w:rPr>
          <w:szCs w:val="18"/>
        </w:rPr>
        <w:t>PRIMERO.- El presente Acuerdo entrará en vigor al día siguiente al de su publicación en el Diario Oficial de la Federación.</w:t>
      </w:r>
    </w:p>
    <w:p w:rsidR="002B1107" w:rsidRDefault="002B1107" w:rsidP="00B049E3">
      <w:pPr>
        <w:pStyle w:val="Texto"/>
        <w:spacing w:line="246" w:lineRule="exact"/>
        <w:rPr>
          <w:szCs w:val="18"/>
        </w:rPr>
      </w:pPr>
      <w:r w:rsidRPr="002B1107">
        <w:rPr>
          <w:szCs w:val="18"/>
        </w:rPr>
        <w:t>SEGUNDO.- En cumplimiento a lo dispuesto por el artículo 7, segundo párrafo de la Ley General de Contabilidad Gubernamental, el presente Acuerdo deberá ser publicado en los medios oficiales de difusión escritos y electrónicos de las entidades federativas, municipios y demarcaciones territoriales del</w:t>
      </w:r>
      <w:r w:rsidR="00A85EC2">
        <w:rPr>
          <w:szCs w:val="18"/>
        </w:rPr>
        <w:t xml:space="preserve"> </w:t>
      </w:r>
      <w:r w:rsidRPr="002B1107">
        <w:rPr>
          <w:szCs w:val="18"/>
        </w:rPr>
        <w:t>Distrito Federal.</w:t>
      </w:r>
    </w:p>
    <w:p w:rsidR="002B1107" w:rsidRDefault="002B1107" w:rsidP="00B049E3">
      <w:pPr>
        <w:pStyle w:val="Texto"/>
        <w:spacing w:line="220" w:lineRule="exact"/>
        <w:rPr>
          <w:szCs w:val="18"/>
        </w:rPr>
      </w:pPr>
      <w:r w:rsidRPr="002B1107">
        <w:rPr>
          <w:szCs w:val="18"/>
        </w:rPr>
        <w:lastRenderedPageBreak/>
        <w:t>TERCERO.- En términos de los artículos 7 y 15 de la Ley General de Contabilidad Gubernamental, el Secretario Técnico llevará un registro público en una página de Internet de los actos que los gobiernos de las entidades federativas, municipios y demarcaciones territoriales del Distrito Federal realicen para la adopción e implementación del</w:t>
      </w:r>
      <w:r w:rsidR="00E57D61">
        <w:rPr>
          <w:szCs w:val="18"/>
        </w:rPr>
        <w:t xml:space="preserve"> </w:t>
      </w:r>
      <w:r w:rsidRPr="002B1107">
        <w:rPr>
          <w:szCs w:val="18"/>
        </w:rPr>
        <w:t>presente Acuerdo. Para tales efectos, los gobiernos de las entidades federativas, los municipios y las demarcaciones territoriales del Distrito Federal remitirán al Secretario Técnico la información relacionada con dichos actos. Dicha información deberá ser enviada a la dirección electrónica conac_sriotecnico@hacienda.gob.mx, dentro de un plazo de 15 días hábiles contados a partir de la conclusión del plazo fijado por el CONAC. Los municipios sujetos del presente lineamiento podrán enviar la información antes referida por correo ordinario.</w:t>
      </w:r>
    </w:p>
    <w:p w:rsidR="00CF3026" w:rsidRDefault="002B1107" w:rsidP="00B049E3">
      <w:pPr>
        <w:pStyle w:val="Texto"/>
        <w:spacing w:line="220" w:lineRule="exact"/>
      </w:pPr>
      <w:r w:rsidRPr="002B1107">
        <w:t xml:space="preserve">En la Ciudad de México, siendo las trece horas del día 19 de julio del año dos mil trece,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Técnico del Consejo Nacional de Armonización Contable, </w:t>
      </w:r>
      <w:r w:rsidRPr="004061BE">
        <w:t>HAGO CONSTAR Y CERTIFICO</w:t>
      </w:r>
      <w:r w:rsidRPr="002B1107">
        <w:t xml:space="preserve"> que el documento consistente en 1 foja útil, impresa por anverso y reverso, rubricada y cotejada, corresponde con el texto del Acuerdo que Reforma las Principales Reglas de Registro y Valoración del Patrimonio (Elementos Generales) publicado en el Diario Oficial de la Federación (DOF) el 27 de diciembre de 2010, aprobado por el Consejo Nacional de Armonización Contable, mismo que estuvo a la vista de los integrantes de dicho Consejo en su tercera reunión celebrada, en segunda convocatoria, el 19 de julio del presente año, situación que se certifica para los efectos legales conducentes.</w:t>
      </w:r>
      <w:r w:rsidR="00CF3026">
        <w:t>-</w:t>
      </w:r>
      <w:r w:rsidRPr="002B1107">
        <w:t xml:space="preserve"> </w:t>
      </w:r>
      <w:r w:rsidR="00CF3026">
        <w:t xml:space="preserve">El </w:t>
      </w:r>
      <w:r w:rsidR="00CF3026" w:rsidRPr="002B1107">
        <w:t>Secretario Técnico del Consejo Nacional de Armonización Contable</w:t>
      </w:r>
      <w:r w:rsidR="00CF3026">
        <w:t xml:space="preserve">, </w:t>
      </w:r>
      <w:r w:rsidR="00CF3026" w:rsidRPr="002B1107">
        <w:rPr>
          <w:b/>
        </w:rPr>
        <w:t>Juan Manuel Alcocer Gamba</w:t>
      </w:r>
      <w:r w:rsidR="00CF3026">
        <w:t>.- Rúbrica.</w:t>
      </w:r>
    </w:p>
    <w:p w:rsidR="002B1107" w:rsidRDefault="002B1107" w:rsidP="002B1107">
      <w:pPr>
        <w:pStyle w:val="Texto"/>
      </w:pPr>
    </w:p>
    <w:sectPr w:rsidR="002B1107" w:rsidSect="00937C80">
      <w:headerReference w:type="even" r:id="rId7"/>
      <w:headerReference w:type="default" r:id="rId8"/>
      <w:pgSz w:w="12240" w:h="15840" w:code="1"/>
      <w:pgMar w:top="1152" w:right="1699" w:bottom="1296" w:left="1699" w:header="706" w:footer="706"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3165" w:rsidRDefault="00DC3165">
      <w:r>
        <w:separator/>
      </w:r>
    </w:p>
  </w:endnote>
  <w:endnote w:type="continuationSeparator" w:id="0">
    <w:p w:rsidR="00DC3165" w:rsidRDefault="00DC31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Palacio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3165" w:rsidRDefault="00DC3165">
      <w:r>
        <w:separator/>
      </w:r>
    </w:p>
  </w:footnote>
  <w:footnote w:type="continuationSeparator" w:id="0">
    <w:p w:rsidR="00DC3165" w:rsidRDefault="00DC31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32B" w:rsidRPr="00A85EC2" w:rsidRDefault="00A85EC2" w:rsidP="009A1B40">
    <w:pPr>
      <w:pStyle w:val="Fechas"/>
      <w:rPr>
        <w:rFonts w:cs="Times New Roman"/>
      </w:rPr>
    </w:pPr>
    <w:r>
      <w:rPr>
        <w:rFonts w:cs="Times New Roman"/>
      </w:rPr>
      <w:t xml:space="preserve"> </w:t>
    </w:r>
    <w:r w:rsidR="00937C80" w:rsidRPr="00A85EC2">
      <w:rPr>
        <w:rFonts w:cs="Times New Roman"/>
      </w:rPr>
      <w:t xml:space="preserve">     (Primera Sección)</w:t>
    </w:r>
    <w:r w:rsidR="0027532B" w:rsidRPr="00A85EC2">
      <w:rPr>
        <w:rFonts w:cs="Times New Roman"/>
      </w:rPr>
      <w:tab/>
      <w:t>DIARIO OFICIAL</w:t>
    </w:r>
    <w:r w:rsidR="0027532B" w:rsidRPr="00A85EC2">
      <w:rPr>
        <w:rFonts w:cs="Times New Roman"/>
      </w:rPr>
      <w:tab/>
    </w:r>
    <w:proofErr w:type="gramStart"/>
    <w:r w:rsidR="0027532B" w:rsidRPr="00A85EC2">
      <w:rPr>
        <w:rFonts w:cs="Times New Roman"/>
      </w:rPr>
      <w:t>Jueves</w:t>
    </w:r>
    <w:proofErr w:type="gramEnd"/>
    <w:r w:rsidR="0027532B" w:rsidRPr="00A85EC2">
      <w:rPr>
        <w:rFonts w:cs="Times New Roman"/>
      </w:rPr>
      <w:t xml:space="preserve"> 8 de agosto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32B" w:rsidRPr="00A85EC2" w:rsidRDefault="0027532B" w:rsidP="009A1B40">
    <w:pPr>
      <w:pStyle w:val="Fechas"/>
      <w:rPr>
        <w:rFonts w:cs="Times New Roman"/>
      </w:rPr>
    </w:pPr>
    <w:r w:rsidRPr="00A85EC2">
      <w:rPr>
        <w:rFonts w:cs="Times New Roman"/>
      </w:rPr>
      <w:t>Jueves 8 de agosto de 2013</w:t>
    </w:r>
    <w:r w:rsidRPr="00A85EC2">
      <w:rPr>
        <w:rFonts w:cs="Times New Roman"/>
      </w:rPr>
      <w:tab/>
      <w:t>DIARIO OFICIAL</w:t>
    </w:r>
    <w:r w:rsidRPr="00A85EC2">
      <w:rPr>
        <w:rFonts w:cs="Times New Roman"/>
      </w:rPr>
      <w:tab/>
    </w:r>
    <w:r w:rsidR="00937C80" w:rsidRPr="00A85EC2">
      <w:rPr>
        <w:rFonts w:cs="Times New Roman"/>
      </w:rPr>
      <w:t xml:space="preserve">(Primera Sección)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80583"/>
    <w:multiLevelType w:val="hybridMultilevel"/>
    <w:tmpl w:val="3F66B954"/>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3">
    <w:nsid w:val="378107A9"/>
    <w:multiLevelType w:val="hybridMultilevel"/>
    <w:tmpl w:val="03B450DA"/>
    <w:lvl w:ilvl="0" w:tplc="080A000F">
      <w:start w:val="1"/>
      <w:numFmt w:val="decimal"/>
      <w:lvlText w:val="%1."/>
      <w:lvlJc w:val="left"/>
      <w:pPr>
        <w:ind w:left="1117" w:hanging="360"/>
      </w:pPr>
    </w:lvl>
    <w:lvl w:ilvl="1" w:tplc="080A0019" w:tentative="1">
      <w:start w:val="1"/>
      <w:numFmt w:val="lowerLetter"/>
      <w:lvlText w:val="%2."/>
      <w:lvlJc w:val="left"/>
      <w:pPr>
        <w:ind w:left="1837" w:hanging="360"/>
      </w:pPr>
    </w:lvl>
    <w:lvl w:ilvl="2" w:tplc="080A001B" w:tentative="1">
      <w:start w:val="1"/>
      <w:numFmt w:val="lowerRoman"/>
      <w:lvlText w:val="%3."/>
      <w:lvlJc w:val="right"/>
      <w:pPr>
        <w:ind w:left="2557" w:hanging="180"/>
      </w:pPr>
    </w:lvl>
    <w:lvl w:ilvl="3" w:tplc="080A000F" w:tentative="1">
      <w:start w:val="1"/>
      <w:numFmt w:val="decimal"/>
      <w:lvlText w:val="%4."/>
      <w:lvlJc w:val="left"/>
      <w:pPr>
        <w:ind w:left="3277" w:hanging="360"/>
      </w:pPr>
    </w:lvl>
    <w:lvl w:ilvl="4" w:tplc="080A0019" w:tentative="1">
      <w:start w:val="1"/>
      <w:numFmt w:val="lowerLetter"/>
      <w:lvlText w:val="%5."/>
      <w:lvlJc w:val="left"/>
      <w:pPr>
        <w:ind w:left="3997" w:hanging="360"/>
      </w:pPr>
    </w:lvl>
    <w:lvl w:ilvl="5" w:tplc="080A001B" w:tentative="1">
      <w:start w:val="1"/>
      <w:numFmt w:val="lowerRoman"/>
      <w:lvlText w:val="%6."/>
      <w:lvlJc w:val="right"/>
      <w:pPr>
        <w:ind w:left="4717" w:hanging="180"/>
      </w:pPr>
    </w:lvl>
    <w:lvl w:ilvl="6" w:tplc="080A000F" w:tentative="1">
      <w:start w:val="1"/>
      <w:numFmt w:val="decimal"/>
      <w:lvlText w:val="%7."/>
      <w:lvlJc w:val="left"/>
      <w:pPr>
        <w:ind w:left="5437" w:hanging="360"/>
      </w:pPr>
    </w:lvl>
    <w:lvl w:ilvl="7" w:tplc="080A0019" w:tentative="1">
      <w:start w:val="1"/>
      <w:numFmt w:val="lowerLetter"/>
      <w:lvlText w:val="%8."/>
      <w:lvlJc w:val="left"/>
      <w:pPr>
        <w:ind w:left="6157" w:hanging="360"/>
      </w:pPr>
    </w:lvl>
    <w:lvl w:ilvl="8" w:tplc="080A001B" w:tentative="1">
      <w:start w:val="1"/>
      <w:numFmt w:val="lowerRoman"/>
      <w:lvlText w:val="%9."/>
      <w:lvlJc w:val="right"/>
      <w:pPr>
        <w:ind w:left="6877" w:hanging="180"/>
      </w:pPr>
    </w:lvl>
  </w:abstractNum>
  <w:abstractNum w:abstractNumId="4">
    <w:nsid w:val="37F45B18"/>
    <w:multiLevelType w:val="hybridMultilevel"/>
    <w:tmpl w:val="03B450DA"/>
    <w:lvl w:ilvl="0" w:tplc="080A000F">
      <w:start w:val="1"/>
      <w:numFmt w:val="decimal"/>
      <w:lvlText w:val="%1."/>
      <w:lvlJc w:val="left"/>
      <w:pPr>
        <w:ind w:left="1117" w:hanging="360"/>
      </w:pPr>
    </w:lvl>
    <w:lvl w:ilvl="1" w:tplc="080A0019" w:tentative="1">
      <w:start w:val="1"/>
      <w:numFmt w:val="lowerLetter"/>
      <w:lvlText w:val="%2."/>
      <w:lvlJc w:val="left"/>
      <w:pPr>
        <w:ind w:left="1837" w:hanging="360"/>
      </w:pPr>
    </w:lvl>
    <w:lvl w:ilvl="2" w:tplc="080A001B" w:tentative="1">
      <w:start w:val="1"/>
      <w:numFmt w:val="lowerRoman"/>
      <w:lvlText w:val="%3."/>
      <w:lvlJc w:val="right"/>
      <w:pPr>
        <w:ind w:left="2557" w:hanging="180"/>
      </w:pPr>
    </w:lvl>
    <w:lvl w:ilvl="3" w:tplc="080A000F" w:tentative="1">
      <w:start w:val="1"/>
      <w:numFmt w:val="decimal"/>
      <w:lvlText w:val="%4."/>
      <w:lvlJc w:val="left"/>
      <w:pPr>
        <w:ind w:left="3277" w:hanging="360"/>
      </w:pPr>
    </w:lvl>
    <w:lvl w:ilvl="4" w:tplc="080A0019" w:tentative="1">
      <w:start w:val="1"/>
      <w:numFmt w:val="lowerLetter"/>
      <w:lvlText w:val="%5."/>
      <w:lvlJc w:val="left"/>
      <w:pPr>
        <w:ind w:left="3997" w:hanging="360"/>
      </w:pPr>
    </w:lvl>
    <w:lvl w:ilvl="5" w:tplc="080A001B" w:tentative="1">
      <w:start w:val="1"/>
      <w:numFmt w:val="lowerRoman"/>
      <w:lvlText w:val="%6."/>
      <w:lvlJc w:val="right"/>
      <w:pPr>
        <w:ind w:left="4717" w:hanging="180"/>
      </w:pPr>
    </w:lvl>
    <w:lvl w:ilvl="6" w:tplc="080A000F" w:tentative="1">
      <w:start w:val="1"/>
      <w:numFmt w:val="decimal"/>
      <w:lvlText w:val="%7."/>
      <w:lvlJc w:val="left"/>
      <w:pPr>
        <w:ind w:left="5437" w:hanging="360"/>
      </w:pPr>
    </w:lvl>
    <w:lvl w:ilvl="7" w:tplc="080A0019" w:tentative="1">
      <w:start w:val="1"/>
      <w:numFmt w:val="lowerLetter"/>
      <w:lvlText w:val="%8."/>
      <w:lvlJc w:val="left"/>
      <w:pPr>
        <w:ind w:left="6157" w:hanging="360"/>
      </w:pPr>
    </w:lvl>
    <w:lvl w:ilvl="8" w:tplc="080A001B" w:tentative="1">
      <w:start w:val="1"/>
      <w:numFmt w:val="lowerRoman"/>
      <w:lvlText w:val="%9."/>
      <w:lvlJc w:val="right"/>
      <w:pPr>
        <w:ind w:left="6877" w:hanging="180"/>
      </w:pPr>
    </w:lvl>
  </w:abstractNum>
  <w:abstractNum w:abstractNumId="5">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defaultTabStop w:val="706"/>
  <w:hyphenationZone w:val="425"/>
  <w:evenAndOddHeaders/>
  <w:characterSpacingControl w:val="doNotCompress"/>
  <w:footnotePr>
    <w:footnote w:id="-1"/>
    <w:footnote w:id="0"/>
  </w:footnotePr>
  <w:endnotePr>
    <w:endnote w:id="-1"/>
    <w:endnote w:id="0"/>
  </w:endnotePr>
  <w:compat/>
  <w:rsids>
    <w:rsidRoot w:val="002B1107"/>
    <w:rsid w:val="00045D62"/>
    <w:rsid w:val="0005629F"/>
    <w:rsid w:val="00085CFF"/>
    <w:rsid w:val="00091A81"/>
    <w:rsid w:val="000934C4"/>
    <w:rsid w:val="000B42E5"/>
    <w:rsid w:val="000C50D4"/>
    <w:rsid w:val="000F0FA3"/>
    <w:rsid w:val="000F706A"/>
    <w:rsid w:val="00100794"/>
    <w:rsid w:val="00104C31"/>
    <w:rsid w:val="0010703B"/>
    <w:rsid w:val="001303A7"/>
    <w:rsid w:val="00140A5C"/>
    <w:rsid w:val="00155A7E"/>
    <w:rsid w:val="001574EC"/>
    <w:rsid w:val="001642EF"/>
    <w:rsid w:val="00176B02"/>
    <w:rsid w:val="001944A2"/>
    <w:rsid w:val="001A20DA"/>
    <w:rsid w:val="001B409C"/>
    <w:rsid w:val="001B6981"/>
    <w:rsid w:val="001E6CB1"/>
    <w:rsid w:val="001F6325"/>
    <w:rsid w:val="00204921"/>
    <w:rsid w:val="002214D8"/>
    <w:rsid w:val="0025082C"/>
    <w:rsid w:val="00255299"/>
    <w:rsid w:val="002732D0"/>
    <w:rsid w:val="0027532B"/>
    <w:rsid w:val="00285BE5"/>
    <w:rsid w:val="00286668"/>
    <w:rsid w:val="00290296"/>
    <w:rsid w:val="00291CA7"/>
    <w:rsid w:val="002940B6"/>
    <w:rsid w:val="002B00EE"/>
    <w:rsid w:val="002B1107"/>
    <w:rsid w:val="002B127D"/>
    <w:rsid w:val="002B3857"/>
    <w:rsid w:val="002C3644"/>
    <w:rsid w:val="002C66EE"/>
    <w:rsid w:val="002E0094"/>
    <w:rsid w:val="002E58BE"/>
    <w:rsid w:val="002F6279"/>
    <w:rsid w:val="002F666A"/>
    <w:rsid w:val="0030321A"/>
    <w:rsid w:val="00323864"/>
    <w:rsid w:val="0032394E"/>
    <w:rsid w:val="00326B04"/>
    <w:rsid w:val="00330780"/>
    <w:rsid w:val="00330E82"/>
    <w:rsid w:val="003340A4"/>
    <w:rsid w:val="00357A6B"/>
    <w:rsid w:val="0036410B"/>
    <w:rsid w:val="003656C6"/>
    <w:rsid w:val="00373DFE"/>
    <w:rsid w:val="0039202C"/>
    <w:rsid w:val="003C0F9D"/>
    <w:rsid w:val="003C5EB9"/>
    <w:rsid w:val="003E5783"/>
    <w:rsid w:val="003E7472"/>
    <w:rsid w:val="003F3C25"/>
    <w:rsid w:val="003F4985"/>
    <w:rsid w:val="004061BE"/>
    <w:rsid w:val="004108D0"/>
    <w:rsid w:val="00410B8C"/>
    <w:rsid w:val="00412ED6"/>
    <w:rsid w:val="004142D5"/>
    <w:rsid w:val="0042779F"/>
    <w:rsid w:val="00427DCC"/>
    <w:rsid w:val="004352A9"/>
    <w:rsid w:val="00440349"/>
    <w:rsid w:val="004502F0"/>
    <w:rsid w:val="00464085"/>
    <w:rsid w:val="004652D9"/>
    <w:rsid w:val="00465E99"/>
    <w:rsid w:val="00470F00"/>
    <w:rsid w:val="004A7426"/>
    <w:rsid w:val="004B2F2C"/>
    <w:rsid w:val="004B7CB7"/>
    <w:rsid w:val="004C49C6"/>
    <w:rsid w:val="004C769F"/>
    <w:rsid w:val="004D4A72"/>
    <w:rsid w:val="004E6B1F"/>
    <w:rsid w:val="004E77FB"/>
    <w:rsid w:val="004F3FE9"/>
    <w:rsid w:val="00512CDB"/>
    <w:rsid w:val="00514993"/>
    <w:rsid w:val="005158F6"/>
    <w:rsid w:val="00517BF0"/>
    <w:rsid w:val="005228E3"/>
    <w:rsid w:val="00534337"/>
    <w:rsid w:val="0053581A"/>
    <w:rsid w:val="00535845"/>
    <w:rsid w:val="005438AB"/>
    <w:rsid w:val="0054733E"/>
    <w:rsid w:val="0055349C"/>
    <w:rsid w:val="005614C5"/>
    <w:rsid w:val="005C4019"/>
    <w:rsid w:val="005C75DE"/>
    <w:rsid w:val="005D7D14"/>
    <w:rsid w:val="00610299"/>
    <w:rsid w:val="006231E1"/>
    <w:rsid w:val="00627360"/>
    <w:rsid w:val="00627D1A"/>
    <w:rsid w:val="0063495E"/>
    <w:rsid w:val="00634C63"/>
    <w:rsid w:val="00656CFF"/>
    <w:rsid w:val="006711A8"/>
    <w:rsid w:val="00674139"/>
    <w:rsid w:val="00681BC5"/>
    <w:rsid w:val="00691836"/>
    <w:rsid w:val="0069357B"/>
    <w:rsid w:val="00695901"/>
    <w:rsid w:val="00697B7C"/>
    <w:rsid w:val="006B7539"/>
    <w:rsid w:val="006D2074"/>
    <w:rsid w:val="006D2E40"/>
    <w:rsid w:val="006E2487"/>
    <w:rsid w:val="006E4EE3"/>
    <w:rsid w:val="006E66EC"/>
    <w:rsid w:val="006E7B86"/>
    <w:rsid w:val="0070415B"/>
    <w:rsid w:val="00711BBE"/>
    <w:rsid w:val="00717A6D"/>
    <w:rsid w:val="00724703"/>
    <w:rsid w:val="00727260"/>
    <w:rsid w:val="00735E9D"/>
    <w:rsid w:val="00741ABD"/>
    <w:rsid w:val="00746FC8"/>
    <w:rsid w:val="007578BE"/>
    <w:rsid w:val="0079526E"/>
    <w:rsid w:val="0079567A"/>
    <w:rsid w:val="00797AB4"/>
    <w:rsid w:val="007A0956"/>
    <w:rsid w:val="007C1352"/>
    <w:rsid w:val="007D00B8"/>
    <w:rsid w:val="007D286A"/>
    <w:rsid w:val="007D4C4F"/>
    <w:rsid w:val="00822721"/>
    <w:rsid w:val="00827CE1"/>
    <w:rsid w:val="0083080F"/>
    <w:rsid w:val="008371DC"/>
    <w:rsid w:val="008651ED"/>
    <w:rsid w:val="00875A59"/>
    <w:rsid w:val="00876C7C"/>
    <w:rsid w:val="0089558E"/>
    <w:rsid w:val="008A23F3"/>
    <w:rsid w:val="008B5BD2"/>
    <w:rsid w:val="008D17A5"/>
    <w:rsid w:val="008E35DF"/>
    <w:rsid w:val="008F7A18"/>
    <w:rsid w:val="00902364"/>
    <w:rsid w:val="00913D77"/>
    <w:rsid w:val="00915467"/>
    <w:rsid w:val="009167A0"/>
    <w:rsid w:val="009200A2"/>
    <w:rsid w:val="00920E53"/>
    <w:rsid w:val="009302F0"/>
    <w:rsid w:val="009329FB"/>
    <w:rsid w:val="00937C80"/>
    <w:rsid w:val="00945F33"/>
    <w:rsid w:val="00950369"/>
    <w:rsid w:val="009514B2"/>
    <w:rsid w:val="009648A6"/>
    <w:rsid w:val="009932CA"/>
    <w:rsid w:val="009A1B40"/>
    <w:rsid w:val="009A7654"/>
    <w:rsid w:val="009C02DA"/>
    <w:rsid w:val="009E1AC6"/>
    <w:rsid w:val="009E3B35"/>
    <w:rsid w:val="009E63EA"/>
    <w:rsid w:val="009F050F"/>
    <w:rsid w:val="009F2409"/>
    <w:rsid w:val="00A01A51"/>
    <w:rsid w:val="00A211EE"/>
    <w:rsid w:val="00A31E9B"/>
    <w:rsid w:val="00A333DC"/>
    <w:rsid w:val="00A53D31"/>
    <w:rsid w:val="00A61300"/>
    <w:rsid w:val="00A73F8A"/>
    <w:rsid w:val="00A76032"/>
    <w:rsid w:val="00A8099D"/>
    <w:rsid w:val="00A81D62"/>
    <w:rsid w:val="00A84922"/>
    <w:rsid w:val="00A85EC2"/>
    <w:rsid w:val="00AD0BC7"/>
    <w:rsid w:val="00AD54E0"/>
    <w:rsid w:val="00AD6E55"/>
    <w:rsid w:val="00AE786C"/>
    <w:rsid w:val="00AF2F88"/>
    <w:rsid w:val="00B00632"/>
    <w:rsid w:val="00B049E3"/>
    <w:rsid w:val="00B14C29"/>
    <w:rsid w:val="00B170E8"/>
    <w:rsid w:val="00B22B23"/>
    <w:rsid w:val="00B3769E"/>
    <w:rsid w:val="00B46F51"/>
    <w:rsid w:val="00B63531"/>
    <w:rsid w:val="00B7008A"/>
    <w:rsid w:val="00B717B3"/>
    <w:rsid w:val="00B85525"/>
    <w:rsid w:val="00B92B1F"/>
    <w:rsid w:val="00BA374B"/>
    <w:rsid w:val="00BC1453"/>
    <w:rsid w:val="00BF091C"/>
    <w:rsid w:val="00C01B5D"/>
    <w:rsid w:val="00C258E4"/>
    <w:rsid w:val="00C50EFE"/>
    <w:rsid w:val="00C615F1"/>
    <w:rsid w:val="00C81C26"/>
    <w:rsid w:val="00C9060E"/>
    <w:rsid w:val="00C92A4F"/>
    <w:rsid w:val="00C96371"/>
    <w:rsid w:val="00C96FD6"/>
    <w:rsid w:val="00CA2FDC"/>
    <w:rsid w:val="00CA3BBA"/>
    <w:rsid w:val="00CC0602"/>
    <w:rsid w:val="00CC39A6"/>
    <w:rsid w:val="00CC71C5"/>
    <w:rsid w:val="00CD6850"/>
    <w:rsid w:val="00CF24C4"/>
    <w:rsid w:val="00CF3026"/>
    <w:rsid w:val="00CF6193"/>
    <w:rsid w:val="00D046E9"/>
    <w:rsid w:val="00D04785"/>
    <w:rsid w:val="00D266E7"/>
    <w:rsid w:val="00D32C7D"/>
    <w:rsid w:val="00D34588"/>
    <w:rsid w:val="00D42FD2"/>
    <w:rsid w:val="00D54C2F"/>
    <w:rsid w:val="00D60467"/>
    <w:rsid w:val="00D64953"/>
    <w:rsid w:val="00D87572"/>
    <w:rsid w:val="00D87A00"/>
    <w:rsid w:val="00DC3165"/>
    <w:rsid w:val="00DE4C7A"/>
    <w:rsid w:val="00DF6036"/>
    <w:rsid w:val="00DF6BC3"/>
    <w:rsid w:val="00E21F6A"/>
    <w:rsid w:val="00E30B22"/>
    <w:rsid w:val="00E3798A"/>
    <w:rsid w:val="00E4145F"/>
    <w:rsid w:val="00E460F3"/>
    <w:rsid w:val="00E50177"/>
    <w:rsid w:val="00E5027B"/>
    <w:rsid w:val="00E5626A"/>
    <w:rsid w:val="00E57D61"/>
    <w:rsid w:val="00E772E5"/>
    <w:rsid w:val="00E77E64"/>
    <w:rsid w:val="00E82585"/>
    <w:rsid w:val="00EA0ABD"/>
    <w:rsid w:val="00EA46E7"/>
    <w:rsid w:val="00EB3C2A"/>
    <w:rsid w:val="00EE6353"/>
    <w:rsid w:val="00EF1962"/>
    <w:rsid w:val="00EF226B"/>
    <w:rsid w:val="00F00937"/>
    <w:rsid w:val="00F179D7"/>
    <w:rsid w:val="00F22399"/>
    <w:rsid w:val="00F315C9"/>
    <w:rsid w:val="00F378BD"/>
    <w:rsid w:val="00F42E31"/>
    <w:rsid w:val="00F51E5E"/>
    <w:rsid w:val="00F5601C"/>
    <w:rsid w:val="00F64B32"/>
    <w:rsid w:val="00F70C4B"/>
    <w:rsid w:val="00F808C0"/>
    <w:rsid w:val="00F83712"/>
    <w:rsid w:val="00F85CA3"/>
    <w:rsid w:val="00FA1173"/>
    <w:rsid w:val="00FA672D"/>
    <w:rsid w:val="00FC03A2"/>
    <w:rsid w:val="00FC5DD1"/>
    <w:rsid w:val="00FD0D2C"/>
    <w:rsid w:val="00FD1A0B"/>
    <w:rsid w:val="00FD44E8"/>
    <w:rsid w:val="00FD7200"/>
    <w:rsid w:val="00FE5F30"/>
    <w:rsid w:val="00FE6ABD"/>
    <w:rsid w:val="00FF661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MX"/>
    </w:rPr>
  </w:style>
  <w:style w:type="paragraph" w:styleId="Ttulo1">
    <w:name w:val="heading 1"/>
    <w:basedOn w:val="Normal"/>
    <w:next w:val="Normal"/>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paragraph" w:styleId="Ttulo3">
    <w:name w:val="heading 3"/>
    <w:basedOn w:val="Normal"/>
    <w:next w:val="Normal"/>
    <w:link w:val="Ttulo3Car"/>
    <w:qFormat/>
    <w:rsid w:val="002B1107"/>
    <w:pPr>
      <w:keepNext/>
      <w:spacing w:before="240" w:after="60"/>
      <w:outlineLvl w:val="2"/>
    </w:pPr>
    <w:rPr>
      <w:rFonts w:ascii="Cambria" w:hAnsi="Cambria" w:cs="Cambria"/>
      <w:b/>
      <w:sz w:val="26"/>
      <w:szCs w:val="20"/>
      <w:lang w:val="es-ES" w:eastAsia="es-MX"/>
    </w:rPr>
  </w:style>
  <w:style w:type="paragraph" w:styleId="Ttulo4">
    <w:name w:val="heading 4"/>
    <w:basedOn w:val="Normal"/>
    <w:next w:val="Normal"/>
    <w:link w:val="Ttulo4Car"/>
    <w:qFormat/>
    <w:rsid w:val="002B1107"/>
    <w:pPr>
      <w:keepNext/>
      <w:tabs>
        <w:tab w:val="left" w:pos="974"/>
        <w:tab w:val="left" w:pos="1021"/>
        <w:tab w:val="left" w:pos="1134"/>
        <w:tab w:val="left" w:pos="1560"/>
      </w:tabs>
      <w:spacing w:before="240" w:after="60"/>
      <w:ind w:left="974" w:hanging="864"/>
      <w:jc w:val="both"/>
      <w:outlineLvl w:val="3"/>
    </w:pPr>
    <w:rPr>
      <w:rFonts w:ascii="Arial" w:hAnsi="Arial" w:cs="Arial"/>
      <w:b/>
      <w:sz w:val="28"/>
      <w:szCs w:val="20"/>
      <w:lang w:val="es-ES" w:eastAsia="es-MX"/>
    </w:rPr>
  </w:style>
  <w:style w:type="paragraph" w:styleId="Ttulo5">
    <w:name w:val="heading 5"/>
    <w:basedOn w:val="Normal"/>
    <w:next w:val="Normal"/>
    <w:link w:val="Ttulo5Car"/>
    <w:qFormat/>
    <w:rsid w:val="002B1107"/>
    <w:pPr>
      <w:tabs>
        <w:tab w:val="left" w:pos="1008"/>
      </w:tabs>
      <w:spacing w:before="240" w:after="60"/>
      <w:ind w:left="1008" w:hanging="1008"/>
      <w:jc w:val="both"/>
      <w:outlineLvl w:val="4"/>
    </w:pPr>
    <w:rPr>
      <w:rFonts w:ascii="Calibri" w:hAnsi="Calibri" w:cs="Calibri"/>
      <w:b/>
      <w:i/>
      <w:sz w:val="26"/>
      <w:szCs w:val="20"/>
      <w:lang w:val="es-ES" w:eastAsia="es-MX"/>
    </w:rPr>
  </w:style>
  <w:style w:type="paragraph" w:styleId="Ttulo6">
    <w:name w:val="heading 6"/>
    <w:basedOn w:val="Normal"/>
    <w:next w:val="Normal"/>
    <w:link w:val="Ttulo6Car"/>
    <w:qFormat/>
    <w:rsid w:val="002B1107"/>
    <w:pPr>
      <w:tabs>
        <w:tab w:val="left" w:pos="1152"/>
      </w:tabs>
      <w:spacing w:before="240" w:after="60"/>
      <w:ind w:left="1152" w:hanging="1152"/>
      <w:outlineLvl w:val="5"/>
    </w:pPr>
    <w:rPr>
      <w:rFonts w:ascii="Calibri" w:hAnsi="Calibri" w:cs="Calibri"/>
      <w:b/>
      <w:sz w:val="20"/>
      <w:szCs w:val="20"/>
      <w:lang w:val="es-ES" w:eastAsia="es-MX"/>
    </w:rPr>
  </w:style>
  <w:style w:type="paragraph" w:styleId="Ttulo7">
    <w:name w:val="heading 7"/>
    <w:basedOn w:val="Normal"/>
    <w:next w:val="Normal"/>
    <w:link w:val="Ttulo7Car"/>
    <w:qFormat/>
    <w:rsid w:val="002B1107"/>
    <w:pPr>
      <w:tabs>
        <w:tab w:val="left" w:pos="1296"/>
      </w:tabs>
      <w:spacing w:before="240" w:after="60"/>
      <w:ind w:left="1296" w:hanging="1296"/>
      <w:outlineLvl w:val="6"/>
    </w:pPr>
    <w:rPr>
      <w:rFonts w:ascii="Calibri" w:hAnsi="Calibri" w:cs="Calibri"/>
      <w:szCs w:val="20"/>
      <w:lang w:val="es-ES" w:eastAsia="es-MX"/>
    </w:rPr>
  </w:style>
  <w:style w:type="paragraph" w:styleId="Ttulo8">
    <w:name w:val="heading 8"/>
    <w:basedOn w:val="Normal"/>
    <w:next w:val="Normal"/>
    <w:link w:val="Ttulo8Car"/>
    <w:qFormat/>
    <w:rsid w:val="002B1107"/>
    <w:pPr>
      <w:tabs>
        <w:tab w:val="left" w:pos="1440"/>
      </w:tabs>
      <w:spacing w:before="240" w:after="60"/>
      <w:ind w:left="1440" w:hanging="1440"/>
      <w:outlineLvl w:val="7"/>
    </w:pPr>
    <w:rPr>
      <w:rFonts w:ascii="Calibri" w:hAnsi="Calibri" w:cs="Calibri"/>
      <w:i/>
      <w:szCs w:val="20"/>
      <w:lang w:val="es-ES" w:eastAsia="es-MX"/>
    </w:rPr>
  </w:style>
  <w:style w:type="paragraph" w:styleId="Ttulo9">
    <w:name w:val="heading 9"/>
    <w:basedOn w:val="Normal"/>
    <w:next w:val="Normal"/>
    <w:link w:val="Ttulo9Car"/>
    <w:qFormat/>
    <w:rsid w:val="002B1107"/>
    <w:pPr>
      <w:tabs>
        <w:tab w:val="left" w:pos="1584"/>
      </w:tabs>
      <w:spacing w:before="240" w:after="60"/>
      <w:ind w:left="1584" w:hanging="1584"/>
      <w:outlineLvl w:val="8"/>
    </w:pPr>
    <w:rPr>
      <w:rFonts w:ascii="Cambria" w:hAnsi="Cambria" w:cs="Cambria"/>
      <w:sz w:val="20"/>
      <w:szCs w:val="20"/>
      <w:lang w:val="es-ES"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uiPriority w:val="99"/>
    <w:semiHidden/>
  </w:style>
  <w:style w:type="paragraph" w:customStyle="1" w:styleId="Texto">
    <w:name w:val="Texto"/>
    <w:basedOn w:val="Normal"/>
    <w:link w:val="TextoCar"/>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eastAsia="es-MX"/>
    </w:rPr>
  </w:style>
  <w:style w:type="paragraph" w:customStyle="1" w:styleId="ANOTACION">
    <w:name w:val="ANOTACION"/>
    <w:basedOn w:val="Normal"/>
    <w:link w:val="ANOTACIONCar"/>
    <w:rsid w:val="009C02DA"/>
    <w:pPr>
      <w:spacing w:before="101" w:after="101" w:line="216" w:lineRule="atLeast"/>
      <w:jc w:val="center"/>
    </w:pPr>
    <w:rPr>
      <w:b/>
      <w:sz w:val="18"/>
      <w:szCs w:val="20"/>
      <w:lang w:val="es-ES_tradnl"/>
    </w:rPr>
  </w:style>
  <w:style w:type="paragraph" w:customStyle="1" w:styleId="SUBIN">
    <w:name w:val="SUBIN"/>
    <w:basedOn w:val="Texto"/>
    <w:rsid w:val="00535845"/>
    <w:pPr>
      <w:ind w:left="1987" w:hanging="720"/>
    </w:p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eastAsia="es-MX"/>
    </w:rPr>
  </w:style>
  <w:style w:type="paragraph" w:customStyle="1" w:styleId="Titulo2">
    <w:name w:val="Titulo 2"/>
    <w:basedOn w:val="Texto"/>
    <w:rsid w:val="00FE5F30"/>
    <w:pPr>
      <w:pBdr>
        <w:top w:val="double" w:sz="6" w:space="1" w:color="auto"/>
      </w:pBdr>
      <w:spacing w:line="240" w:lineRule="auto"/>
      <w:ind w:firstLine="0"/>
      <w:outlineLvl w:val="1"/>
    </w:p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uiPriority w:val="99"/>
    <w:rsid w:val="00140A5C"/>
    <w:pPr>
      <w:tabs>
        <w:tab w:val="center" w:pos="4419"/>
        <w:tab w:val="right" w:pos="8838"/>
      </w:tabs>
    </w:pPr>
  </w:style>
  <w:style w:type="paragraph" w:customStyle="1" w:styleId="EstilotextoPrimeralnea0">
    <w:name w:val="Estilo texto + Primera línea:  0&quot;"/>
    <w:basedOn w:val="Normal"/>
    <w:rsid w:val="0054733E"/>
    <w:pPr>
      <w:spacing w:after="101" w:line="216" w:lineRule="exact"/>
      <w:jc w:val="both"/>
    </w:pPr>
    <w:rPr>
      <w:rFonts w:ascii="Arial" w:hAnsi="Arial"/>
      <w:sz w:val="18"/>
      <w:szCs w:val="20"/>
      <w:lang w:eastAsia="es-MX"/>
    </w:rPr>
  </w:style>
  <w:style w:type="character" w:customStyle="1" w:styleId="TextoCar">
    <w:name w:val="Texto Car"/>
    <w:link w:val="Texto"/>
    <w:locked/>
    <w:rsid w:val="003E5783"/>
    <w:rPr>
      <w:rFonts w:ascii="Arial" w:hAnsi="Arial" w:cs="Arial"/>
      <w:sz w:val="18"/>
      <w:lang w:val="es-ES" w:eastAsia="es-ES" w:bidi="ar-SA"/>
    </w:rPr>
  </w:style>
  <w:style w:type="character" w:customStyle="1" w:styleId="ROMANOSCar">
    <w:name w:val="ROMANOS Car"/>
    <w:link w:val="ROMANOS"/>
    <w:locked/>
    <w:rsid w:val="003E5783"/>
    <w:rPr>
      <w:rFonts w:ascii="Arial" w:hAnsi="Arial" w:cs="Arial"/>
      <w:sz w:val="18"/>
      <w:szCs w:val="18"/>
      <w:lang w:val="es-ES" w:eastAsia="es-ES" w:bidi="ar-SA"/>
    </w:rPr>
  </w:style>
  <w:style w:type="character" w:customStyle="1" w:styleId="ANOTACIONCar">
    <w:name w:val="ANOTACION Car"/>
    <w:link w:val="ANOTACION"/>
    <w:locked/>
    <w:rsid w:val="003E5783"/>
    <w:rPr>
      <w:b/>
      <w:sz w:val="18"/>
      <w:lang w:val="es-ES_tradnl" w:eastAsia="es-ES" w:bidi="ar-SA"/>
    </w:rPr>
  </w:style>
  <w:style w:type="paragraph" w:styleId="Piedepgina">
    <w:name w:val="footer"/>
    <w:basedOn w:val="Normal"/>
    <w:rsid w:val="00140A5C"/>
    <w:pPr>
      <w:tabs>
        <w:tab w:val="center" w:pos="4419"/>
        <w:tab w:val="right" w:pos="8838"/>
      </w:tabs>
    </w:pPr>
  </w:style>
  <w:style w:type="character" w:styleId="Nmerodepgina">
    <w:name w:val="page number"/>
    <w:basedOn w:val="Fuentedeprrafopredeter"/>
    <w:rsid w:val="00140A5C"/>
  </w:style>
  <w:style w:type="paragraph" w:styleId="Prrafodelista">
    <w:name w:val="List Paragraph"/>
    <w:basedOn w:val="Normal"/>
    <w:qFormat/>
    <w:rsid w:val="002B1107"/>
    <w:pPr>
      <w:spacing w:after="200" w:line="276" w:lineRule="atLeast"/>
      <w:ind w:left="720"/>
    </w:pPr>
    <w:rPr>
      <w:rFonts w:ascii="Calibri" w:hAnsi="Calibri" w:cs="Calibri"/>
      <w:sz w:val="22"/>
      <w:szCs w:val="20"/>
      <w:lang w:eastAsia="es-MX"/>
    </w:rPr>
  </w:style>
  <w:style w:type="character" w:customStyle="1" w:styleId="Ttulo3Car">
    <w:name w:val="Título 3 Car"/>
    <w:link w:val="Ttulo3"/>
    <w:rsid w:val="002B1107"/>
    <w:rPr>
      <w:rFonts w:ascii="Cambria" w:hAnsi="Cambria" w:cs="Cambria"/>
      <w:b/>
      <w:sz w:val="26"/>
      <w:lang w:val="es-ES"/>
    </w:rPr>
  </w:style>
  <w:style w:type="character" w:customStyle="1" w:styleId="Ttulo4Car">
    <w:name w:val="Título 4 Car"/>
    <w:link w:val="Ttulo4"/>
    <w:rsid w:val="002B1107"/>
    <w:rPr>
      <w:rFonts w:ascii="Arial" w:hAnsi="Arial" w:cs="Arial"/>
      <w:b/>
      <w:sz w:val="28"/>
      <w:lang w:val="es-ES"/>
    </w:rPr>
  </w:style>
  <w:style w:type="character" w:customStyle="1" w:styleId="Ttulo5Car">
    <w:name w:val="Título 5 Car"/>
    <w:link w:val="Ttulo5"/>
    <w:rsid w:val="002B1107"/>
    <w:rPr>
      <w:rFonts w:ascii="Calibri" w:hAnsi="Calibri" w:cs="Calibri"/>
      <w:b/>
      <w:i/>
      <w:sz w:val="26"/>
      <w:lang w:val="es-ES"/>
    </w:rPr>
  </w:style>
  <w:style w:type="character" w:customStyle="1" w:styleId="Ttulo6Car">
    <w:name w:val="Título 6 Car"/>
    <w:link w:val="Ttulo6"/>
    <w:rsid w:val="002B1107"/>
    <w:rPr>
      <w:rFonts w:ascii="Calibri" w:hAnsi="Calibri" w:cs="Calibri"/>
      <w:b/>
      <w:lang w:val="es-ES"/>
    </w:rPr>
  </w:style>
  <w:style w:type="character" w:customStyle="1" w:styleId="Ttulo7Car">
    <w:name w:val="Título 7 Car"/>
    <w:link w:val="Ttulo7"/>
    <w:rsid w:val="002B1107"/>
    <w:rPr>
      <w:rFonts w:ascii="Calibri" w:hAnsi="Calibri" w:cs="Calibri"/>
      <w:sz w:val="24"/>
      <w:lang w:val="es-ES"/>
    </w:rPr>
  </w:style>
  <w:style w:type="character" w:customStyle="1" w:styleId="Ttulo8Car">
    <w:name w:val="Título 8 Car"/>
    <w:link w:val="Ttulo8"/>
    <w:rsid w:val="002B1107"/>
    <w:rPr>
      <w:rFonts w:ascii="Calibri" w:hAnsi="Calibri" w:cs="Calibri"/>
      <w:i/>
      <w:sz w:val="24"/>
      <w:lang w:val="es-ES"/>
    </w:rPr>
  </w:style>
  <w:style w:type="character" w:customStyle="1" w:styleId="Ttulo9Car">
    <w:name w:val="Título 9 Car"/>
    <w:link w:val="Ttulo9"/>
    <w:rsid w:val="002B1107"/>
    <w:rPr>
      <w:rFonts w:ascii="Cambria" w:hAnsi="Cambria" w:cs="Cambria"/>
      <w:lang w:val="es-ES"/>
    </w:rPr>
  </w:style>
  <w:style w:type="paragraph" w:styleId="Textocomentario">
    <w:name w:val="annotation text"/>
    <w:basedOn w:val="Normal"/>
    <w:link w:val="TextocomentarioCar"/>
    <w:rsid w:val="002B1107"/>
    <w:rPr>
      <w:rFonts w:ascii="Verdana" w:hAnsi="Verdana" w:cs="Verdana"/>
      <w:sz w:val="20"/>
      <w:szCs w:val="20"/>
      <w:lang w:val="es-ES" w:eastAsia="es-MX"/>
    </w:rPr>
  </w:style>
  <w:style w:type="character" w:customStyle="1" w:styleId="TextocomentarioCar">
    <w:name w:val="Texto comentario Car"/>
    <w:link w:val="Textocomentario"/>
    <w:rsid w:val="002B1107"/>
    <w:rPr>
      <w:rFonts w:ascii="Verdana" w:hAnsi="Verdana" w:cs="Verdana"/>
      <w:lang w:val="es-ES"/>
    </w:rPr>
  </w:style>
  <w:style w:type="paragraph" w:styleId="Textonotapie">
    <w:name w:val="footnote text"/>
    <w:basedOn w:val="Normal"/>
    <w:link w:val="TextonotapieCar"/>
    <w:rsid w:val="002B1107"/>
    <w:pPr>
      <w:spacing w:before="360" w:after="200"/>
    </w:pPr>
    <w:rPr>
      <w:rFonts w:ascii="Calibri" w:hAnsi="Calibri" w:cs="Calibri"/>
      <w:sz w:val="20"/>
      <w:szCs w:val="20"/>
      <w:lang w:val="es-AR" w:eastAsia="es-MX"/>
    </w:rPr>
  </w:style>
  <w:style w:type="character" w:customStyle="1" w:styleId="TextonotapieCar">
    <w:name w:val="Texto nota pie Car"/>
    <w:link w:val="Textonotapie"/>
    <w:rsid w:val="002B1107"/>
    <w:rPr>
      <w:rFonts w:ascii="Calibri" w:hAnsi="Calibri" w:cs="Calibri"/>
      <w:lang w:val="es-AR"/>
    </w:rPr>
  </w:style>
  <w:style w:type="paragraph" w:customStyle="1" w:styleId="BalloonText">
    <w:name w:val="Balloon Text"/>
    <w:basedOn w:val="Normal"/>
    <w:rsid w:val="002B1107"/>
    <w:rPr>
      <w:rFonts w:ascii="Tahoma" w:hAnsi="Tahoma" w:cs="Tahoma"/>
      <w:sz w:val="16"/>
      <w:szCs w:val="20"/>
      <w:lang w:val="es-ES" w:eastAsia="es-MX"/>
    </w:rPr>
  </w:style>
  <w:style w:type="paragraph" w:customStyle="1" w:styleId="Prrafodelista1">
    <w:name w:val="Párrafo de lista1"/>
    <w:basedOn w:val="Normal"/>
    <w:rsid w:val="002B1107"/>
    <w:pPr>
      <w:spacing w:before="360" w:after="200"/>
      <w:ind w:left="720"/>
    </w:pPr>
    <w:rPr>
      <w:rFonts w:ascii="Calibri" w:hAnsi="Calibri" w:cs="Calibri"/>
      <w:sz w:val="22"/>
      <w:szCs w:val="20"/>
      <w:lang w:val="es-AR" w:eastAsia="es-MX"/>
    </w:rPr>
  </w:style>
  <w:style w:type="paragraph" w:styleId="Ttulo">
    <w:name w:val="Title"/>
    <w:basedOn w:val="Normal"/>
    <w:next w:val="Normal"/>
    <w:link w:val="TtuloCar"/>
    <w:qFormat/>
    <w:rsid w:val="002B1107"/>
    <w:pPr>
      <w:pBdr>
        <w:bottom w:val="single" w:sz="6" w:space="4" w:color="C0C0C0"/>
      </w:pBdr>
      <w:spacing w:after="300"/>
    </w:pPr>
    <w:rPr>
      <w:rFonts w:ascii="Cambria" w:hAnsi="Cambria" w:cs="Cambria"/>
      <w:color w:val="000080"/>
      <w:spacing w:val="5"/>
      <w:sz w:val="52"/>
      <w:szCs w:val="20"/>
      <w:lang w:val="es-ES" w:eastAsia="es-MX"/>
    </w:rPr>
  </w:style>
  <w:style w:type="character" w:customStyle="1" w:styleId="TtuloCar">
    <w:name w:val="Título Car"/>
    <w:link w:val="Ttulo"/>
    <w:rsid w:val="002B1107"/>
    <w:rPr>
      <w:rFonts w:ascii="Cambria" w:hAnsi="Cambria" w:cs="Cambria"/>
      <w:color w:val="000080"/>
      <w:spacing w:val="5"/>
      <w:sz w:val="52"/>
      <w:lang w:val="es-ES"/>
    </w:rPr>
  </w:style>
  <w:style w:type="paragraph" w:customStyle="1" w:styleId="ttulo0">
    <w:name w:val="título"/>
    <w:basedOn w:val="Normal"/>
    <w:next w:val="Normal"/>
    <w:rsid w:val="002B1107"/>
    <w:pPr>
      <w:spacing w:after="200"/>
    </w:pPr>
    <w:rPr>
      <w:rFonts w:ascii="Verdana" w:hAnsi="Verdana" w:cs="Verdana"/>
      <w:b/>
      <w:color w:val="C0C0C0"/>
      <w:sz w:val="18"/>
      <w:szCs w:val="20"/>
      <w:lang w:val="es-ES" w:eastAsia="es-MX"/>
    </w:rPr>
  </w:style>
  <w:style w:type="paragraph" w:customStyle="1" w:styleId="xl65">
    <w:name w:val="xl65"/>
    <w:basedOn w:val="Normal"/>
    <w:rsid w:val="002B1107"/>
    <w:pPr>
      <w:pBdr>
        <w:top w:val="single" w:sz="6" w:space="0" w:color="auto"/>
        <w:left w:val="single" w:sz="6" w:space="0" w:color="auto"/>
        <w:bottom w:val="single" w:sz="6" w:space="0" w:color="auto"/>
        <w:right w:val="single" w:sz="6" w:space="0" w:color="auto"/>
      </w:pBdr>
      <w:spacing w:before="100" w:after="100"/>
      <w:jc w:val="center"/>
    </w:pPr>
    <w:rPr>
      <w:sz w:val="20"/>
      <w:szCs w:val="20"/>
      <w:lang w:val="en-US" w:eastAsia="es-MX"/>
    </w:rPr>
  </w:style>
  <w:style w:type="paragraph" w:customStyle="1" w:styleId="xl66">
    <w:name w:val="xl66"/>
    <w:basedOn w:val="Normal"/>
    <w:rsid w:val="002B1107"/>
    <w:pPr>
      <w:pBdr>
        <w:top w:val="single" w:sz="6" w:space="0" w:color="auto"/>
        <w:left w:val="single" w:sz="6" w:space="0" w:color="auto"/>
        <w:bottom w:val="single" w:sz="6" w:space="0" w:color="auto"/>
        <w:right w:val="single" w:sz="6" w:space="0" w:color="auto"/>
      </w:pBdr>
      <w:spacing w:before="100" w:after="100"/>
    </w:pPr>
    <w:rPr>
      <w:sz w:val="20"/>
      <w:szCs w:val="20"/>
      <w:lang w:val="en-US" w:eastAsia="es-MX"/>
    </w:rPr>
  </w:style>
  <w:style w:type="paragraph" w:customStyle="1" w:styleId="xl67">
    <w:name w:val="xl67"/>
    <w:basedOn w:val="Normal"/>
    <w:rsid w:val="002B1107"/>
    <w:pPr>
      <w:pBdr>
        <w:top w:val="single" w:sz="6" w:space="0" w:color="auto"/>
        <w:left w:val="single" w:sz="6" w:space="0" w:color="auto"/>
        <w:bottom w:val="single" w:sz="6" w:space="0" w:color="auto"/>
        <w:right w:val="single" w:sz="6" w:space="0" w:color="auto"/>
      </w:pBdr>
      <w:spacing w:before="100" w:after="100"/>
    </w:pPr>
    <w:rPr>
      <w:sz w:val="20"/>
      <w:szCs w:val="20"/>
      <w:lang w:val="en-US" w:eastAsia="es-MX"/>
    </w:rPr>
  </w:style>
  <w:style w:type="paragraph" w:customStyle="1" w:styleId="xl68">
    <w:name w:val="xl68"/>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69">
    <w:name w:val="xl69"/>
    <w:basedOn w:val="Normal"/>
    <w:rsid w:val="002B1107"/>
    <w:pPr>
      <w:pBdr>
        <w:top w:val="single" w:sz="6" w:space="0" w:color="auto"/>
        <w:left w:val="single" w:sz="6" w:space="0" w:color="auto"/>
        <w:bottom w:val="single" w:sz="6" w:space="0" w:color="auto"/>
        <w:right w:val="single" w:sz="6" w:space="0" w:color="auto"/>
      </w:pBdr>
      <w:spacing w:before="100" w:after="100"/>
    </w:pPr>
    <w:rPr>
      <w:color w:val="000000"/>
      <w:sz w:val="20"/>
      <w:szCs w:val="20"/>
      <w:lang w:val="en-US" w:eastAsia="es-MX"/>
    </w:rPr>
  </w:style>
  <w:style w:type="paragraph" w:customStyle="1" w:styleId="xl70">
    <w:name w:val="xl70"/>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1">
    <w:name w:val="xl71"/>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C0C0C0"/>
      <w:sz w:val="20"/>
      <w:szCs w:val="20"/>
      <w:lang w:val="en-US" w:eastAsia="es-MX"/>
    </w:rPr>
  </w:style>
  <w:style w:type="paragraph" w:customStyle="1" w:styleId="xl72">
    <w:name w:val="xl72"/>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3">
    <w:name w:val="xl73"/>
    <w:basedOn w:val="Normal"/>
    <w:rsid w:val="002B1107"/>
    <w:pPr>
      <w:pBdr>
        <w:top w:val="single" w:sz="6" w:space="0" w:color="auto"/>
        <w:left w:val="single" w:sz="6" w:space="0" w:color="auto"/>
        <w:bottom w:val="single" w:sz="6" w:space="0" w:color="auto"/>
        <w:right w:val="single" w:sz="6" w:space="0" w:color="auto"/>
      </w:pBdr>
      <w:spacing w:before="100" w:after="100"/>
    </w:pPr>
    <w:rPr>
      <w:color w:val="000000"/>
      <w:sz w:val="20"/>
      <w:szCs w:val="20"/>
      <w:lang w:val="en-US" w:eastAsia="es-MX"/>
    </w:rPr>
  </w:style>
  <w:style w:type="paragraph" w:customStyle="1" w:styleId="xl74">
    <w:name w:val="xl74"/>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5">
    <w:name w:val="xl75"/>
    <w:basedOn w:val="Normal"/>
    <w:rsid w:val="002B1107"/>
    <w:pPr>
      <w:spacing w:before="100" w:after="100"/>
      <w:jc w:val="center"/>
    </w:pPr>
    <w:rPr>
      <w:szCs w:val="20"/>
      <w:lang w:val="en-US" w:eastAsia="es-MX"/>
    </w:rPr>
  </w:style>
  <w:style w:type="paragraph" w:customStyle="1" w:styleId="xl76">
    <w:name w:val="xl76"/>
    <w:basedOn w:val="Normal"/>
    <w:rsid w:val="002B1107"/>
    <w:pPr>
      <w:spacing w:before="100" w:after="100"/>
    </w:pPr>
    <w:rPr>
      <w:szCs w:val="20"/>
      <w:lang w:val="en-US" w:eastAsia="es-MX"/>
    </w:rPr>
  </w:style>
  <w:style w:type="paragraph" w:customStyle="1" w:styleId="xl77">
    <w:name w:val="xl77"/>
    <w:basedOn w:val="Normal"/>
    <w:rsid w:val="002B1107"/>
    <w:pPr>
      <w:spacing w:before="100" w:after="100"/>
      <w:jc w:val="center"/>
    </w:pPr>
    <w:rPr>
      <w:szCs w:val="20"/>
      <w:lang w:val="en-US" w:eastAsia="es-MX"/>
    </w:rPr>
  </w:style>
  <w:style w:type="paragraph" w:customStyle="1" w:styleId="font5">
    <w:name w:val="font5"/>
    <w:basedOn w:val="Normal"/>
    <w:rsid w:val="002B1107"/>
    <w:pPr>
      <w:spacing w:before="100" w:after="100"/>
    </w:pPr>
    <w:rPr>
      <w:rFonts w:ascii="Calibri" w:hAnsi="Calibri" w:cs="Calibri"/>
      <w:color w:val="000000"/>
      <w:sz w:val="20"/>
      <w:szCs w:val="20"/>
      <w:lang w:val="en-US" w:eastAsia="es-MX"/>
    </w:rPr>
  </w:style>
  <w:style w:type="paragraph" w:customStyle="1" w:styleId="texto0">
    <w:name w:val="texto"/>
    <w:basedOn w:val="Normal"/>
    <w:rsid w:val="002B1107"/>
    <w:pPr>
      <w:spacing w:after="101" w:line="216" w:lineRule="exact"/>
      <w:ind w:firstLine="288"/>
      <w:jc w:val="both"/>
    </w:pPr>
    <w:rPr>
      <w:rFonts w:ascii="Arial" w:hAnsi="Arial" w:cs="Arial"/>
      <w:sz w:val="18"/>
      <w:szCs w:val="20"/>
      <w:lang w:eastAsia="es-MX"/>
    </w:rPr>
  </w:style>
  <w:style w:type="paragraph" w:customStyle="1" w:styleId="EstilotextoPrimeral">
    <w:name w:val="Estilo texto + Primera l"/>
    <w:basedOn w:val="texto0"/>
    <w:rsid w:val="002B1107"/>
    <w:pPr>
      <w:ind w:firstLine="0"/>
    </w:pPr>
  </w:style>
  <w:style w:type="paragraph" w:styleId="NormalWeb">
    <w:name w:val="Normal (Web)"/>
    <w:basedOn w:val="Normal"/>
    <w:rsid w:val="002B1107"/>
    <w:pPr>
      <w:spacing w:before="100" w:after="100"/>
    </w:pPr>
    <w:rPr>
      <w:szCs w:val="20"/>
      <w:lang w:val="es-ES" w:eastAsia="es-MX"/>
    </w:rPr>
  </w:style>
  <w:style w:type="paragraph" w:customStyle="1" w:styleId="Textonormal">
    <w:name w:val="Texto normal"/>
    <w:basedOn w:val="Normal"/>
    <w:rsid w:val="002B1107"/>
    <w:pPr>
      <w:jc w:val="both"/>
    </w:pPr>
    <w:rPr>
      <w:rFonts w:ascii="Arial" w:hAnsi="Arial" w:cs="Arial"/>
      <w:sz w:val="22"/>
      <w:szCs w:val="20"/>
      <w:lang w:val="es-ES" w:eastAsia="es-MX"/>
    </w:rPr>
  </w:style>
  <w:style w:type="paragraph" w:customStyle="1" w:styleId="BodyText2">
    <w:name w:val="Body Text 2"/>
    <w:basedOn w:val="Normal"/>
    <w:rsid w:val="002B1107"/>
    <w:pPr>
      <w:spacing w:before="360" w:after="200"/>
      <w:ind w:firstLine="708"/>
      <w:jc w:val="both"/>
    </w:pPr>
    <w:rPr>
      <w:rFonts w:ascii="Arial" w:hAnsi="Arial" w:cs="Arial"/>
      <w:sz w:val="22"/>
      <w:szCs w:val="20"/>
      <w:lang w:val="es-AR" w:eastAsia="es-MX"/>
    </w:rPr>
  </w:style>
  <w:style w:type="paragraph" w:customStyle="1" w:styleId="arial">
    <w:name w:val="arial"/>
    <w:basedOn w:val="Normal"/>
    <w:rsid w:val="002B1107"/>
    <w:rPr>
      <w:b/>
      <w:szCs w:val="20"/>
      <w:lang w:val="es-ES" w:eastAsia="es-MX"/>
    </w:rPr>
  </w:style>
  <w:style w:type="paragraph" w:customStyle="1" w:styleId="Modelo1">
    <w:name w:val="Modelo 1"/>
    <w:basedOn w:val="Normal"/>
    <w:rsid w:val="002B1107"/>
    <w:pPr>
      <w:tabs>
        <w:tab w:val="left" w:pos="792"/>
      </w:tabs>
      <w:spacing w:before="60" w:after="60"/>
      <w:ind w:left="792" w:hanging="432"/>
      <w:jc w:val="both"/>
    </w:pPr>
    <w:rPr>
      <w:rFonts w:ascii="Arial" w:hAnsi="Arial" w:cs="Arial"/>
      <w:b/>
      <w:sz w:val="22"/>
      <w:szCs w:val="20"/>
      <w:lang w:eastAsia="es-MX"/>
    </w:rPr>
  </w:style>
  <w:style w:type="paragraph" w:customStyle="1" w:styleId="DocumentMap">
    <w:name w:val="Document Map"/>
    <w:basedOn w:val="Normal"/>
    <w:rsid w:val="002B1107"/>
    <w:pPr>
      <w:shd w:val="clear" w:color="auto" w:fill="000080"/>
    </w:pPr>
    <w:rPr>
      <w:rFonts w:ascii="Tahoma" w:hAnsi="Tahoma" w:cs="Tahoma"/>
      <w:sz w:val="20"/>
      <w:szCs w:val="20"/>
      <w:lang w:val="es-ES" w:eastAsia="es-MX"/>
    </w:rPr>
  </w:style>
  <w:style w:type="paragraph" w:customStyle="1" w:styleId="EstiloTtulo1Verdan">
    <w:name w:val="Estilo Título 1 + Verdan"/>
    <w:basedOn w:val="Ttulo1"/>
    <w:rsid w:val="002B1107"/>
    <w:pPr>
      <w:keepNext/>
      <w:pBdr>
        <w:bottom w:val="none" w:sz="0" w:space="0" w:color="auto"/>
        <w:between w:val="none" w:sz="0" w:space="0" w:color="auto"/>
      </w:pBdr>
      <w:tabs>
        <w:tab w:val="left" w:pos="993"/>
      </w:tabs>
      <w:spacing w:before="0"/>
      <w:ind w:left="993" w:hanging="993"/>
    </w:pPr>
    <w:rPr>
      <w:rFonts w:ascii="Calibri" w:hAnsi="Calibri" w:cs="Calibri"/>
      <w:smallCaps/>
      <w:sz w:val="24"/>
      <w:szCs w:val="20"/>
      <w:lang w:eastAsia="es-MX"/>
    </w:rPr>
  </w:style>
  <w:style w:type="paragraph" w:customStyle="1" w:styleId="paper">
    <w:name w:val="paper"/>
    <w:basedOn w:val="Normal"/>
    <w:rsid w:val="002B1107"/>
    <w:pPr>
      <w:spacing w:before="120"/>
      <w:ind w:firstLine="720"/>
      <w:jc w:val="both"/>
    </w:pPr>
    <w:rPr>
      <w:rFonts w:ascii="Garamond" w:hAnsi="Garamond" w:cs="Garamond"/>
      <w:sz w:val="22"/>
      <w:szCs w:val="20"/>
      <w:lang w:val="en-US" w:eastAsia="es-MX"/>
    </w:rPr>
  </w:style>
  <w:style w:type="paragraph" w:customStyle="1" w:styleId="annotationsubject">
    <w:name w:val="annotation subject"/>
    <w:basedOn w:val="Textocomentario"/>
    <w:next w:val="Textocomentario"/>
    <w:rsid w:val="002B1107"/>
    <w:rPr>
      <w:b/>
    </w:rPr>
  </w:style>
  <w:style w:type="paragraph" w:customStyle="1" w:styleId="font6">
    <w:name w:val="font6"/>
    <w:basedOn w:val="Normal"/>
    <w:rsid w:val="002B1107"/>
    <w:pPr>
      <w:spacing w:before="100" w:after="100"/>
    </w:pPr>
    <w:rPr>
      <w:rFonts w:ascii="Tahoma" w:hAnsi="Tahoma" w:cs="Tahoma"/>
      <w:b/>
      <w:color w:val="000000"/>
      <w:sz w:val="18"/>
      <w:szCs w:val="20"/>
      <w:lang w:val="es-ES" w:eastAsia="es-MX"/>
    </w:rPr>
  </w:style>
  <w:style w:type="paragraph" w:styleId="Subttulo">
    <w:name w:val="Subtitle"/>
    <w:basedOn w:val="Normal"/>
    <w:next w:val="Normal"/>
    <w:link w:val="SubttuloCar"/>
    <w:qFormat/>
    <w:rsid w:val="002B1107"/>
    <w:pPr>
      <w:spacing w:after="60"/>
      <w:jc w:val="center"/>
    </w:pPr>
    <w:rPr>
      <w:rFonts w:ascii="Cambria" w:hAnsi="Cambria" w:cs="Cambria"/>
      <w:szCs w:val="20"/>
      <w:lang w:val="es-ES" w:eastAsia="es-MX"/>
    </w:rPr>
  </w:style>
  <w:style w:type="character" w:customStyle="1" w:styleId="SubttuloCar">
    <w:name w:val="Subtítulo Car"/>
    <w:link w:val="Subttulo"/>
    <w:rsid w:val="002B1107"/>
    <w:rPr>
      <w:rFonts w:ascii="Cambria" w:hAnsi="Cambria" w:cs="Cambria"/>
      <w:sz w:val="24"/>
      <w:lang w:val="es-ES"/>
    </w:rPr>
  </w:style>
  <w:style w:type="paragraph" w:customStyle="1" w:styleId="rom">
    <w:name w:val="rom"/>
    <w:basedOn w:val="Texto"/>
    <w:rsid w:val="002B1107"/>
    <w:pPr>
      <w:ind w:left="1080" w:hanging="792"/>
    </w:pPr>
    <w:rPr>
      <w:b/>
      <w:lang w:val="es-ES" w:eastAsia="es-MX"/>
    </w:rPr>
  </w:style>
  <w:style w:type="paragraph" w:customStyle="1" w:styleId="Sumario">
    <w:name w:val="Sumario"/>
    <w:basedOn w:val="Normal"/>
    <w:rsid w:val="002B1107"/>
    <w:pPr>
      <w:tabs>
        <w:tab w:val="right" w:leader="dot" w:pos="8107"/>
        <w:tab w:val="right" w:pos="8640"/>
      </w:tabs>
      <w:spacing w:line="260" w:lineRule="exact"/>
      <w:ind w:left="274" w:right="749"/>
      <w:jc w:val="both"/>
    </w:pPr>
    <w:rPr>
      <w:rFonts w:ascii="Arial" w:hAnsi="Arial" w:cs="Arial"/>
      <w:sz w:val="18"/>
      <w:szCs w:val="20"/>
      <w:lang w:val="es-ES" w:eastAsia="es-MX"/>
    </w:rPr>
  </w:style>
  <w:style w:type="paragraph" w:customStyle="1" w:styleId="Secreta">
    <w:name w:val="Secreta"/>
    <w:basedOn w:val="Normal"/>
    <w:rsid w:val="002B1107"/>
    <w:pPr>
      <w:tabs>
        <w:tab w:val="right" w:leader="dot" w:pos="8100"/>
        <w:tab w:val="right" w:pos="8640"/>
      </w:tabs>
      <w:spacing w:line="334" w:lineRule="exact"/>
      <w:ind w:left="274" w:right="749"/>
      <w:jc w:val="both"/>
    </w:pPr>
    <w:rPr>
      <w:b/>
      <w:sz w:val="20"/>
      <w:szCs w:val="20"/>
      <w:u w:val="single"/>
      <w:lang w:val="es-ES_tradnl" w:eastAsia="es-MX"/>
    </w:rPr>
  </w:style>
  <w:style w:type="character" w:customStyle="1" w:styleId="EncabezadoCar">
    <w:name w:val="Encabezado Car"/>
    <w:link w:val="Encabezado"/>
    <w:uiPriority w:val="99"/>
    <w:rsid w:val="009A1B40"/>
    <w:rPr>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garciav\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1</TotalTime>
  <Pages>2</Pages>
  <Words>900</Words>
  <Characters>4953</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lpstr>
    </vt:vector>
  </TitlesOfParts>
  <Company>Diario Oficial de la Federación</Company>
  <LinksUpToDate>false</LinksUpToDate>
  <CharactersWithSpaces>5842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DOF</dc:creator>
  <cp:keywords/>
  <cp:lastModifiedBy>David Arizmendi Parra</cp:lastModifiedBy>
  <cp:revision>2</cp:revision>
  <cp:lastPrinted>2013-08-08T01:28:00Z</cp:lastPrinted>
  <dcterms:created xsi:type="dcterms:W3CDTF">2013-10-05T01:57:00Z</dcterms:created>
  <dcterms:modified xsi:type="dcterms:W3CDTF">2013-10-05T01:57:00Z</dcterms:modified>
</cp:coreProperties>
</file>