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4C4F" w:rsidRPr="00A85EC2" w:rsidRDefault="007D4C4F" w:rsidP="007D4C4F">
      <w:pPr>
        <w:pStyle w:val="Titulo1"/>
        <w:rPr>
          <w:rFonts w:cs="Times New Roman"/>
        </w:rPr>
      </w:pPr>
      <w:r w:rsidRPr="00A85EC2">
        <w:rPr>
          <w:rFonts w:cs="Times New Roman"/>
        </w:rPr>
        <w:t>ACUERDO que reforma las normas y metodología para la determinación de los momentos contables de</w:t>
      </w:r>
      <w:r w:rsidR="00A85EC2" w:rsidRPr="00A85EC2">
        <w:rPr>
          <w:rFonts w:cs="Times New Roman"/>
        </w:rPr>
        <w:t xml:space="preserve"> </w:t>
      </w:r>
      <w:r w:rsidRPr="00A85EC2">
        <w:rPr>
          <w:rFonts w:cs="Times New Roman"/>
        </w:rPr>
        <w:t>los ingresos.</w:t>
      </w:r>
    </w:p>
    <w:p w:rsidR="002B1107" w:rsidRDefault="002B1107" w:rsidP="002B1107">
      <w:pPr>
        <w:pStyle w:val="Texto"/>
      </w:pPr>
    </w:p>
    <w:p w:rsidR="002B1107" w:rsidRPr="002B1107" w:rsidRDefault="002B1107" w:rsidP="002B1107">
      <w:pPr>
        <w:pStyle w:val="Texto"/>
        <w:rPr>
          <w:szCs w:val="18"/>
        </w:rPr>
      </w:pPr>
      <w:r w:rsidRPr="002B1107">
        <w:rPr>
          <w:szCs w:val="18"/>
        </w:rPr>
        <w:t>El Consejo Nacional de Armonización Contable con fundamento en los artículos 6, 7, y 9, fracción I, de la Ley General de Contabilidad Gubernamental, aprobó el siguiente:</w:t>
      </w:r>
    </w:p>
    <w:p w:rsidR="002B1107" w:rsidRPr="002B1107" w:rsidRDefault="002B1107" w:rsidP="007D4C4F">
      <w:pPr>
        <w:pStyle w:val="ANOTACION"/>
      </w:pPr>
      <w:r w:rsidRPr="002B1107">
        <w:t>ACUERDO QUE REFORMA LAS NORMAS Y METODOLOGÍA PARA LA DETERMINACIÓN</w:t>
      </w:r>
      <w:r w:rsidR="00A85EC2">
        <w:t xml:space="preserve"> </w:t>
      </w:r>
      <w:r w:rsidRPr="002B1107">
        <w:t>DE LOS MOMENTOS CONTABLES DE LOS INGRESOS</w:t>
      </w:r>
    </w:p>
    <w:p w:rsidR="002B1107" w:rsidRPr="004061BE" w:rsidRDefault="002B1107" w:rsidP="002B1107">
      <w:pPr>
        <w:pStyle w:val="Texto"/>
        <w:rPr>
          <w:szCs w:val="18"/>
        </w:rPr>
      </w:pPr>
      <w:r w:rsidRPr="004061BE">
        <w:rPr>
          <w:szCs w:val="18"/>
        </w:rPr>
        <w:t xml:space="preserve">La Ley General de Contabilidad Gubernamental (LGCG) define en su artículo 4, fracción XIX a los ingresos devengados como “el que se realiza </w:t>
      </w:r>
      <w:r w:rsidRPr="004061BE">
        <w:rPr>
          <w:b/>
          <w:szCs w:val="18"/>
          <w:u w:val="single"/>
        </w:rPr>
        <w:t>cuando existe jurídicamente el derecho de cobro</w:t>
      </w:r>
      <w:r w:rsidRPr="004061BE">
        <w:rPr>
          <w:szCs w:val="18"/>
        </w:rPr>
        <w:t xml:space="preserve"> de impuestos, derechos, productos, aprovechamientos y otros ingresos por parte de los entes públicos”</w:t>
      </w:r>
    </w:p>
    <w:p w:rsidR="002B1107" w:rsidRPr="004061BE" w:rsidRDefault="002B1107" w:rsidP="002B1107">
      <w:pPr>
        <w:pStyle w:val="Texto"/>
        <w:rPr>
          <w:szCs w:val="18"/>
        </w:rPr>
      </w:pPr>
      <w:r w:rsidRPr="004061BE">
        <w:rPr>
          <w:szCs w:val="18"/>
        </w:rPr>
        <w:t xml:space="preserve">También el artículo 34 de la LGCG establece que “Los registros contables de los entes públicos se llevarán con base acumulativa. La contabilización de las transacciones de gasto se hará conforme a la fecha de su realización, independientemente de la de su pago, y la del ingreso </w:t>
      </w:r>
      <w:r w:rsidRPr="004061BE">
        <w:rPr>
          <w:b/>
          <w:szCs w:val="18"/>
          <w:u w:val="single"/>
        </w:rPr>
        <w:t>se registrará cuando exista jurídicamente el derecho de cobro</w:t>
      </w:r>
      <w:r w:rsidRPr="004061BE">
        <w:rPr>
          <w:szCs w:val="18"/>
        </w:rPr>
        <w:t>.”</w:t>
      </w:r>
    </w:p>
    <w:p w:rsidR="002B1107" w:rsidRPr="004061BE" w:rsidRDefault="002B1107" w:rsidP="002B1107">
      <w:pPr>
        <w:pStyle w:val="Texto"/>
        <w:rPr>
          <w:szCs w:val="18"/>
        </w:rPr>
      </w:pPr>
      <w:r w:rsidRPr="004061BE">
        <w:rPr>
          <w:szCs w:val="18"/>
        </w:rPr>
        <w:t>Además, el artículo 38, fracción II establece el registro de las etapas del presupuesto de los entes públicos se efectuará en las cuentas contables que, para tal efecto, establezca en lo relativo al ingreso, el estimado, modificado, devengado y recaudado.</w:t>
      </w:r>
    </w:p>
    <w:p w:rsidR="002B1107" w:rsidRPr="004061BE" w:rsidRDefault="002B1107" w:rsidP="002B1107">
      <w:pPr>
        <w:pStyle w:val="Texto"/>
        <w:rPr>
          <w:szCs w:val="18"/>
        </w:rPr>
      </w:pPr>
      <w:r w:rsidRPr="004061BE">
        <w:rPr>
          <w:szCs w:val="18"/>
        </w:rPr>
        <w:t xml:space="preserve">Asimismo, las Normas y metodología para la determinación de los momentos contables de los ingresos publicadas en el Diario Oficial de la Federación (DOF) del 9 de diciembre de 2009, en su numeral IX establece que “El ingreso devengado es el momento contable que </w:t>
      </w:r>
      <w:r w:rsidRPr="004061BE">
        <w:rPr>
          <w:b/>
          <w:szCs w:val="18"/>
          <w:u w:val="single"/>
        </w:rPr>
        <w:t>se realiza cuando existe jurídicamente el derecho de cobro</w:t>
      </w:r>
      <w:r w:rsidRPr="004061BE">
        <w:rPr>
          <w:szCs w:val="18"/>
        </w:rPr>
        <w:t xml:space="preserve"> de los impuestos, cuotas y aportaciones de seguridad social, contribuciones de mejoras, derechos, productos, aprovechamientos, financiamientos internos y externos; así como de la venta de bienes y servicios, además de participaciones, aportaciones, recursos convenidos, y otros ingresos por parte de los entes públicos. En el caso de resoluciones en firme (definitivas) y pago en parcialidades se deberán reconocer cuando ocurre la notificación de la resolución y/o en la firma del convenio de pago en parcialidades, respectivamente.”</w:t>
      </w:r>
    </w:p>
    <w:p w:rsidR="002B1107" w:rsidRPr="004061BE" w:rsidRDefault="002B1107" w:rsidP="002B1107">
      <w:pPr>
        <w:pStyle w:val="Texto"/>
        <w:rPr>
          <w:szCs w:val="18"/>
        </w:rPr>
      </w:pPr>
      <w:r w:rsidRPr="004061BE">
        <w:rPr>
          <w:szCs w:val="18"/>
        </w:rPr>
        <w:t xml:space="preserve">Dichas normas y metodología en su numeral XI establece las características de los ingresos “Cuando los entes públicos cuenten con los elementos que identifique </w:t>
      </w:r>
      <w:r w:rsidRPr="004061BE">
        <w:rPr>
          <w:b/>
          <w:szCs w:val="18"/>
          <w:u w:val="single"/>
        </w:rPr>
        <w:t>el hecho imponible, el contribuyente y se pueda establecer el importe</w:t>
      </w:r>
      <w:r w:rsidRPr="004061BE">
        <w:rPr>
          <w:szCs w:val="18"/>
        </w:rPr>
        <w:t xml:space="preserve"> de los impuestos, cuotas y aportaciones de seguridad social, contribuciones de mejoras, derechos, productos y aprovechamientos, </w:t>
      </w:r>
      <w:r w:rsidRPr="004061BE">
        <w:rPr>
          <w:b/>
          <w:szCs w:val="18"/>
          <w:u w:val="single"/>
        </w:rPr>
        <w:t>emitiéndose el documento de pago y señalando la fecha límite para realizarlo de acuerdo a los plazos establecidos en las leyes respectivas, se entenderá como determinable</w:t>
      </w:r>
      <w:r w:rsidRPr="004061BE">
        <w:rPr>
          <w:szCs w:val="18"/>
        </w:rPr>
        <w:t xml:space="preserve">. Asimismo, se considerará como </w:t>
      </w:r>
      <w:proofErr w:type="spellStart"/>
      <w:r w:rsidRPr="004061BE">
        <w:rPr>
          <w:szCs w:val="18"/>
        </w:rPr>
        <w:t>autodeterminable</w:t>
      </w:r>
      <w:proofErr w:type="spellEnd"/>
      <w:r w:rsidRPr="004061BE">
        <w:rPr>
          <w:szCs w:val="18"/>
        </w:rPr>
        <w:t xml:space="preserve"> cuando corresponda a los contribuyentes la determinación.”</w:t>
      </w:r>
    </w:p>
    <w:p w:rsidR="002B1107" w:rsidRPr="002B1107" w:rsidRDefault="002B1107" w:rsidP="00B049E3">
      <w:pPr>
        <w:pStyle w:val="Texto"/>
        <w:spacing w:line="221" w:lineRule="exact"/>
        <w:rPr>
          <w:szCs w:val="18"/>
        </w:rPr>
      </w:pPr>
      <w:r w:rsidRPr="002B1107">
        <w:rPr>
          <w:szCs w:val="18"/>
        </w:rPr>
        <w:t xml:space="preserve">Es oportuno señalar que el Código Fiscal de la Federación en cuyo artículo 191, párrafo quinto, se establece que los ingresos obtenidos por la adjudicación se registrarán, hasta el momento en el que se tenga </w:t>
      </w:r>
      <w:proofErr w:type="gramStart"/>
      <w:r w:rsidRPr="002B1107">
        <w:rPr>
          <w:szCs w:val="18"/>
        </w:rPr>
        <w:t>formalizada</w:t>
      </w:r>
      <w:proofErr w:type="gramEnd"/>
      <w:r w:rsidRPr="002B1107">
        <w:rPr>
          <w:szCs w:val="18"/>
        </w:rPr>
        <w:t xml:space="preserve"> la adjudicación, en otras palabras que sea recaudado en especie la contribución de que se trate.</w:t>
      </w:r>
    </w:p>
    <w:p w:rsidR="002B1107" w:rsidRPr="002B1107" w:rsidRDefault="002B1107" w:rsidP="00B049E3">
      <w:pPr>
        <w:pStyle w:val="Texto"/>
        <w:spacing w:line="221" w:lineRule="exact"/>
        <w:rPr>
          <w:szCs w:val="18"/>
        </w:rPr>
      </w:pPr>
      <w:r w:rsidRPr="002B1107">
        <w:rPr>
          <w:szCs w:val="18"/>
        </w:rPr>
        <w:t>Los ingresos presupuestarios, se deberá de registrar el ingreso devengado e ingreso recaudado de forma simultánea al momento de percepción del recurso, salvo por los ingresos por venta de bienes y servicios,</w:t>
      </w:r>
      <w:r w:rsidR="00A85EC2">
        <w:rPr>
          <w:szCs w:val="18"/>
        </w:rPr>
        <w:t xml:space="preserve"> </w:t>
      </w:r>
      <w:r w:rsidRPr="002B1107">
        <w:rPr>
          <w:szCs w:val="18"/>
        </w:rPr>
        <w:t>y aportaciones.</w:t>
      </w:r>
    </w:p>
    <w:p w:rsidR="002B1107" w:rsidRPr="002B1107" w:rsidRDefault="002B1107" w:rsidP="00B049E3">
      <w:pPr>
        <w:pStyle w:val="Texto"/>
        <w:spacing w:line="221" w:lineRule="exact"/>
        <w:rPr>
          <w:szCs w:val="18"/>
        </w:rPr>
      </w:pPr>
      <w:r w:rsidRPr="002B1107">
        <w:rPr>
          <w:szCs w:val="18"/>
        </w:rPr>
        <w:t>Para el caso de los ingresos por venta de bienes y servicios se deberá de registrar el devengado a la emisión de la factura o de conformidad con las condiciones pactadas en los contratos correspondientes</w:t>
      </w:r>
      <w:r w:rsidR="00A85EC2">
        <w:rPr>
          <w:szCs w:val="18"/>
        </w:rPr>
        <w:t xml:space="preserve"> </w:t>
      </w:r>
      <w:r w:rsidRPr="002B1107">
        <w:rPr>
          <w:szCs w:val="18"/>
        </w:rPr>
        <w:t>y el recaudado al momento de percepción del recurso.</w:t>
      </w:r>
    </w:p>
    <w:p w:rsidR="002B1107" w:rsidRPr="002B1107" w:rsidRDefault="002B1107" w:rsidP="00B049E3">
      <w:pPr>
        <w:pStyle w:val="Texto"/>
        <w:spacing w:line="221" w:lineRule="exact"/>
        <w:rPr>
          <w:szCs w:val="18"/>
        </w:rPr>
      </w:pPr>
      <w:r w:rsidRPr="002B1107">
        <w:rPr>
          <w:szCs w:val="18"/>
        </w:rPr>
        <w:t>En referencia a los ingresos por aportaciones se deberá de registrar el devengado al momento de cumplimiento de las reglas de operación y de conformidad con los calendarios de pago y el recaudado</w:t>
      </w:r>
      <w:r w:rsidR="00A85EC2">
        <w:rPr>
          <w:szCs w:val="18"/>
        </w:rPr>
        <w:t xml:space="preserve"> </w:t>
      </w:r>
      <w:r w:rsidRPr="002B1107">
        <w:rPr>
          <w:szCs w:val="18"/>
        </w:rPr>
        <w:t>al momento de percepción del recurso.</w:t>
      </w:r>
    </w:p>
    <w:p w:rsidR="002B1107" w:rsidRPr="002B1107" w:rsidRDefault="002B1107" w:rsidP="00B049E3">
      <w:pPr>
        <w:pStyle w:val="Texto"/>
        <w:spacing w:line="221" w:lineRule="exact"/>
        <w:rPr>
          <w:szCs w:val="18"/>
        </w:rPr>
      </w:pPr>
      <w:r w:rsidRPr="002B1107">
        <w:rPr>
          <w:szCs w:val="18"/>
        </w:rPr>
        <w:t>Cuando se emita una autorización para pagar a plazos, ya sea diferido o en parcialidades, el importe pendiente de pago se registrará en un cargo a la cuenta 1.1.2.4 y en un abono a la cuenta 2.1.5.9. Cuando se reciba la parcialidad o el pago diferido, se registra el ingreso devengado y el recaudado de forma simultánea, así como la cancelación de las cuentas anteriores y un cargo al banco o efectivo y un abono a la</w:t>
      </w:r>
      <w:r w:rsidR="006D2074">
        <w:rPr>
          <w:szCs w:val="18"/>
        </w:rPr>
        <w:t>s</w:t>
      </w:r>
      <w:r w:rsidRPr="002B1107">
        <w:rPr>
          <w:szCs w:val="18"/>
        </w:rPr>
        <w:t xml:space="preserve"> cuentas de ingreso contable que corresponda.</w:t>
      </w:r>
    </w:p>
    <w:p w:rsidR="002B1107" w:rsidRDefault="002B1107" w:rsidP="00B049E3">
      <w:pPr>
        <w:pStyle w:val="Texto"/>
        <w:spacing w:line="221" w:lineRule="exact"/>
        <w:rPr>
          <w:szCs w:val="18"/>
        </w:rPr>
      </w:pPr>
      <w:r w:rsidRPr="002B1107">
        <w:rPr>
          <w:szCs w:val="18"/>
        </w:rPr>
        <w:t>Por lo antes expuesto, con fundamento en lo dispuesto en el artículo 9, fracción I de la LGCG, se aprobó el Acuerdo que reforma las normas y metodología para la determinación de los momentos contables</w:t>
      </w:r>
      <w:r w:rsidR="00A85EC2">
        <w:rPr>
          <w:szCs w:val="18"/>
        </w:rPr>
        <w:t xml:space="preserve"> </w:t>
      </w:r>
      <w:r w:rsidRPr="002B1107">
        <w:rPr>
          <w:szCs w:val="18"/>
        </w:rPr>
        <w:t>de los ingresos:</w:t>
      </w:r>
    </w:p>
    <w:p w:rsidR="008F2B8A" w:rsidRDefault="008F2B8A" w:rsidP="00B049E3">
      <w:pPr>
        <w:pStyle w:val="Texto"/>
        <w:spacing w:line="221" w:lineRule="exact"/>
        <w:rPr>
          <w:szCs w:val="18"/>
        </w:rPr>
      </w:pPr>
    </w:p>
    <w:p w:rsidR="002B1107" w:rsidRDefault="002B1107" w:rsidP="00B049E3">
      <w:pPr>
        <w:pStyle w:val="ANOTACION"/>
        <w:spacing w:line="221" w:lineRule="exact"/>
      </w:pPr>
      <w:r w:rsidRPr="002B1107">
        <w:lastRenderedPageBreak/>
        <w:t>Acuerdo</w:t>
      </w:r>
    </w:p>
    <w:p w:rsidR="002B1107" w:rsidRDefault="002B1107" w:rsidP="00B049E3">
      <w:pPr>
        <w:pStyle w:val="Texto"/>
        <w:spacing w:line="221" w:lineRule="exact"/>
        <w:rPr>
          <w:szCs w:val="18"/>
        </w:rPr>
      </w:pPr>
      <w:r w:rsidRPr="002B1107">
        <w:rPr>
          <w:szCs w:val="18"/>
        </w:rPr>
        <w:t>Se reforma las normas y metodologías para la determinación de los momentos contables de los ingresos, en su anexo I “Criterios de registro generales para el tratamiento de los momentos contables de los ingresos devengado y recaudado”, para quedar como sigue:</w:t>
      </w:r>
    </w:p>
    <w:p w:rsidR="002B1107" w:rsidRPr="004061BE" w:rsidRDefault="002B1107" w:rsidP="00B049E3">
      <w:pPr>
        <w:pStyle w:val="Texto"/>
        <w:spacing w:line="221" w:lineRule="exact"/>
        <w:ind w:firstLine="0"/>
        <w:jc w:val="center"/>
        <w:rPr>
          <w:b/>
          <w:sz w:val="16"/>
          <w:szCs w:val="16"/>
        </w:rPr>
      </w:pPr>
      <w:r w:rsidRPr="004061BE">
        <w:rPr>
          <w:b/>
          <w:sz w:val="16"/>
          <w:szCs w:val="16"/>
        </w:rPr>
        <w:t>CRITERIOS DE REGISTRO GENERALES PARA EL TRATAMIENTO DE LOS</w:t>
      </w:r>
      <w:r w:rsidR="00A85EC2">
        <w:rPr>
          <w:b/>
          <w:sz w:val="16"/>
          <w:szCs w:val="16"/>
        </w:rPr>
        <w:t xml:space="preserve"> </w:t>
      </w:r>
      <w:r w:rsidRPr="004061BE">
        <w:rPr>
          <w:b/>
          <w:sz w:val="16"/>
          <w:szCs w:val="16"/>
        </w:rPr>
        <w:t>MOMENTOS CONTABLES DE LOS INGRESOS DEVENGADO Y RECAUDADO</w:t>
      </w:r>
    </w:p>
    <w:p w:rsidR="002B1107" w:rsidRPr="004061BE" w:rsidRDefault="002B1107" w:rsidP="00B049E3">
      <w:pPr>
        <w:pStyle w:val="Texto"/>
        <w:spacing w:line="221" w:lineRule="exact"/>
        <w:jc w:val="right"/>
        <w:rPr>
          <w:b/>
          <w:sz w:val="16"/>
          <w:szCs w:val="16"/>
        </w:rPr>
      </w:pPr>
      <w:r w:rsidRPr="004061BE">
        <w:rPr>
          <w:b/>
          <w:sz w:val="16"/>
          <w:szCs w:val="16"/>
        </w:rPr>
        <w:t>ANEXO I</w:t>
      </w:r>
    </w:p>
    <w:tbl>
      <w:tblPr>
        <w:tblW w:w="8712" w:type="dxa"/>
        <w:tblInd w:w="144" w:type="dxa"/>
        <w:tblCellMar>
          <w:left w:w="72" w:type="dxa"/>
          <w:right w:w="72" w:type="dxa"/>
        </w:tblCellMar>
        <w:tblLook w:val="0000"/>
      </w:tblPr>
      <w:tblGrid>
        <w:gridCol w:w="3798"/>
        <w:gridCol w:w="2490"/>
        <w:gridCol w:w="2424"/>
      </w:tblGrid>
      <w:tr w:rsidR="002B1107" w:rsidRPr="004061BE">
        <w:tblPrEx>
          <w:tblCellMar>
            <w:top w:w="0" w:type="dxa"/>
            <w:bottom w:w="0" w:type="dxa"/>
          </w:tblCellMar>
        </w:tblPrEx>
        <w:trPr>
          <w:trHeight w:val="20"/>
        </w:trPr>
        <w:tc>
          <w:tcPr>
            <w:tcW w:w="3798" w:type="dxa"/>
            <w:tcBorders>
              <w:top w:val="single" w:sz="6" w:space="0" w:color="auto"/>
              <w:left w:val="single" w:sz="6" w:space="0" w:color="auto"/>
              <w:bottom w:val="single" w:sz="6" w:space="0" w:color="auto"/>
              <w:right w:val="single" w:sz="6" w:space="0" w:color="auto"/>
            </w:tcBorders>
            <w:noWrap/>
          </w:tcPr>
          <w:p w:rsidR="002B1107" w:rsidRPr="004061BE" w:rsidRDefault="002B1107" w:rsidP="00B049E3">
            <w:pPr>
              <w:pStyle w:val="Texto"/>
              <w:spacing w:line="221" w:lineRule="exact"/>
              <w:ind w:firstLine="0"/>
              <w:jc w:val="center"/>
              <w:rPr>
                <w:b/>
                <w:sz w:val="16"/>
                <w:szCs w:val="16"/>
              </w:rPr>
            </w:pPr>
            <w:r w:rsidRPr="004061BE">
              <w:rPr>
                <w:b/>
                <w:sz w:val="16"/>
                <w:szCs w:val="16"/>
              </w:rPr>
              <w:t>INGRESOS</w:t>
            </w:r>
          </w:p>
        </w:tc>
        <w:tc>
          <w:tcPr>
            <w:tcW w:w="2490" w:type="dxa"/>
            <w:tcBorders>
              <w:top w:val="single" w:sz="6" w:space="0" w:color="auto"/>
              <w:left w:val="single" w:sz="6" w:space="0" w:color="auto"/>
              <w:bottom w:val="single" w:sz="6" w:space="0" w:color="auto"/>
              <w:right w:val="single" w:sz="6" w:space="0" w:color="auto"/>
            </w:tcBorders>
          </w:tcPr>
          <w:p w:rsidR="002B1107" w:rsidRPr="004061BE" w:rsidRDefault="002B1107" w:rsidP="00B049E3">
            <w:pPr>
              <w:pStyle w:val="Texto"/>
              <w:spacing w:line="221" w:lineRule="exact"/>
              <w:ind w:firstLine="0"/>
              <w:jc w:val="center"/>
              <w:rPr>
                <w:b/>
                <w:sz w:val="16"/>
                <w:szCs w:val="16"/>
              </w:rPr>
            </w:pPr>
            <w:r w:rsidRPr="004061BE">
              <w:rPr>
                <w:b/>
                <w:sz w:val="16"/>
                <w:szCs w:val="16"/>
              </w:rPr>
              <w:t>DEVENGADO AL MOMENTO DE:</w:t>
            </w:r>
          </w:p>
        </w:tc>
        <w:tc>
          <w:tcPr>
            <w:tcW w:w="2424" w:type="dxa"/>
            <w:tcBorders>
              <w:top w:val="single" w:sz="6" w:space="0" w:color="auto"/>
              <w:left w:val="single" w:sz="6" w:space="0" w:color="auto"/>
              <w:bottom w:val="single" w:sz="6" w:space="0" w:color="auto"/>
              <w:right w:val="single" w:sz="6" w:space="0" w:color="auto"/>
            </w:tcBorders>
          </w:tcPr>
          <w:p w:rsidR="002B1107" w:rsidRPr="004061BE" w:rsidRDefault="002B1107" w:rsidP="00B049E3">
            <w:pPr>
              <w:pStyle w:val="Texto"/>
              <w:spacing w:line="221" w:lineRule="exact"/>
              <w:ind w:firstLine="0"/>
              <w:jc w:val="center"/>
              <w:rPr>
                <w:b/>
                <w:sz w:val="16"/>
                <w:szCs w:val="16"/>
              </w:rPr>
            </w:pPr>
            <w:r w:rsidRPr="004061BE">
              <w:rPr>
                <w:b/>
                <w:sz w:val="16"/>
                <w:szCs w:val="16"/>
              </w:rPr>
              <w:t>RECAUDADO AL MOMENTO DE:</w:t>
            </w:r>
          </w:p>
        </w:tc>
      </w:tr>
      <w:tr w:rsidR="002B1107" w:rsidRPr="002B1107">
        <w:tblPrEx>
          <w:tblCellMar>
            <w:top w:w="0" w:type="dxa"/>
            <w:bottom w:w="0" w:type="dxa"/>
          </w:tblCellMar>
        </w:tblPrEx>
        <w:trPr>
          <w:trHeight w:val="20"/>
        </w:trPr>
        <w:tc>
          <w:tcPr>
            <w:tcW w:w="3798" w:type="dxa"/>
            <w:tcBorders>
              <w:top w:val="single" w:sz="6" w:space="0" w:color="auto"/>
              <w:left w:val="single" w:sz="6" w:space="0" w:color="auto"/>
              <w:bottom w:val="single" w:sz="6" w:space="0" w:color="auto"/>
              <w:right w:val="single" w:sz="6" w:space="0" w:color="auto"/>
            </w:tcBorders>
          </w:tcPr>
          <w:p w:rsidR="002B1107" w:rsidRPr="002B1107" w:rsidRDefault="002B1107" w:rsidP="00B049E3">
            <w:pPr>
              <w:pStyle w:val="Texto"/>
              <w:spacing w:line="221" w:lineRule="exact"/>
              <w:ind w:firstLine="0"/>
              <w:jc w:val="center"/>
              <w:rPr>
                <w:szCs w:val="18"/>
              </w:rPr>
            </w:pPr>
            <w:r w:rsidRPr="002B1107">
              <w:rPr>
                <w:szCs w:val="18"/>
              </w:rPr>
              <w:t>Impuestos</w:t>
            </w:r>
          </w:p>
        </w:tc>
        <w:tc>
          <w:tcPr>
            <w:tcW w:w="4914" w:type="dxa"/>
            <w:gridSpan w:val="2"/>
            <w:tcBorders>
              <w:top w:val="single" w:sz="6" w:space="0" w:color="auto"/>
              <w:left w:val="single" w:sz="6" w:space="0" w:color="auto"/>
              <w:bottom w:val="single" w:sz="6" w:space="0" w:color="auto"/>
              <w:right w:val="single" w:sz="6" w:space="0" w:color="auto"/>
            </w:tcBorders>
          </w:tcPr>
          <w:p w:rsidR="002B1107" w:rsidRPr="002B1107" w:rsidRDefault="002B1107" w:rsidP="00B049E3">
            <w:pPr>
              <w:pStyle w:val="Texto"/>
              <w:spacing w:line="221" w:lineRule="exact"/>
              <w:ind w:firstLine="0"/>
              <w:jc w:val="center"/>
              <w:rPr>
                <w:szCs w:val="18"/>
              </w:rPr>
            </w:pPr>
            <w:r w:rsidRPr="002B1107">
              <w:rPr>
                <w:szCs w:val="18"/>
              </w:rPr>
              <w:t>Percepción del recurso.</w:t>
            </w:r>
          </w:p>
        </w:tc>
      </w:tr>
      <w:tr w:rsidR="002B1107" w:rsidRPr="002B1107">
        <w:tblPrEx>
          <w:tblCellMar>
            <w:top w:w="0" w:type="dxa"/>
            <w:bottom w:w="0" w:type="dxa"/>
          </w:tblCellMar>
        </w:tblPrEx>
        <w:trPr>
          <w:trHeight w:val="20"/>
        </w:trPr>
        <w:tc>
          <w:tcPr>
            <w:tcW w:w="3798" w:type="dxa"/>
            <w:tcBorders>
              <w:top w:val="single" w:sz="6" w:space="0" w:color="auto"/>
              <w:left w:val="single" w:sz="6" w:space="0" w:color="auto"/>
              <w:bottom w:val="single" w:sz="6" w:space="0" w:color="auto"/>
              <w:right w:val="single" w:sz="6" w:space="0" w:color="auto"/>
            </w:tcBorders>
          </w:tcPr>
          <w:p w:rsidR="002B1107" w:rsidRPr="002B1107" w:rsidRDefault="002B1107" w:rsidP="00B049E3">
            <w:pPr>
              <w:pStyle w:val="Texto"/>
              <w:spacing w:line="221" w:lineRule="exact"/>
              <w:ind w:firstLine="0"/>
              <w:jc w:val="center"/>
              <w:rPr>
                <w:szCs w:val="18"/>
              </w:rPr>
            </w:pPr>
            <w:r w:rsidRPr="002B1107">
              <w:rPr>
                <w:szCs w:val="18"/>
              </w:rPr>
              <w:t>Devolución</w:t>
            </w:r>
          </w:p>
        </w:tc>
        <w:tc>
          <w:tcPr>
            <w:tcW w:w="4914" w:type="dxa"/>
            <w:gridSpan w:val="2"/>
            <w:tcBorders>
              <w:top w:val="single" w:sz="6" w:space="0" w:color="auto"/>
              <w:left w:val="single" w:sz="6" w:space="0" w:color="auto"/>
              <w:bottom w:val="single" w:sz="6" w:space="0" w:color="auto"/>
              <w:right w:val="single" w:sz="6" w:space="0" w:color="auto"/>
            </w:tcBorders>
          </w:tcPr>
          <w:p w:rsidR="002B1107" w:rsidRPr="002B1107" w:rsidRDefault="002B1107" w:rsidP="00B049E3">
            <w:pPr>
              <w:pStyle w:val="Texto"/>
              <w:spacing w:line="221" w:lineRule="exact"/>
              <w:ind w:firstLine="0"/>
              <w:jc w:val="center"/>
              <w:rPr>
                <w:szCs w:val="18"/>
              </w:rPr>
            </w:pPr>
            <w:r w:rsidRPr="002B1107">
              <w:rPr>
                <w:szCs w:val="18"/>
              </w:rPr>
              <w:t>Efectuar la devolución.</w:t>
            </w:r>
          </w:p>
        </w:tc>
      </w:tr>
      <w:tr w:rsidR="002B1107" w:rsidRPr="002B1107">
        <w:tblPrEx>
          <w:tblCellMar>
            <w:top w:w="0" w:type="dxa"/>
            <w:bottom w:w="0" w:type="dxa"/>
          </w:tblCellMar>
        </w:tblPrEx>
        <w:trPr>
          <w:trHeight w:val="20"/>
        </w:trPr>
        <w:tc>
          <w:tcPr>
            <w:tcW w:w="3798" w:type="dxa"/>
            <w:tcBorders>
              <w:top w:val="single" w:sz="6" w:space="0" w:color="auto"/>
              <w:left w:val="single" w:sz="6" w:space="0" w:color="auto"/>
              <w:bottom w:val="single" w:sz="6" w:space="0" w:color="auto"/>
              <w:right w:val="single" w:sz="6" w:space="0" w:color="auto"/>
            </w:tcBorders>
          </w:tcPr>
          <w:p w:rsidR="002B1107" w:rsidRPr="002B1107" w:rsidRDefault="002B1107" w:rsidP="00B049E3">
            <w:pPr>
              <w:pStyle w:val="Texto"/>
              <w:spacing w:line="221" w:lineRule="exact"/>
              <w:ind w:firstLine="0"/>
              <w:jc w:val="center"/>
              <w:rPr>
                <w:szCs w:val="18"/>
              </w:rPr>
            </w:pPr>
            <w:r w:rsidRPr="002B1107">
              <w:rPr>
                <w:szCs w:val="18"/>
              </w:rPr>
              <w:t>Compensación</w:t>
            </w:r>
          </w:p>
        </w:tc>
        <w:tc>
          <w:tcPr>
            <w:tcW w:w="4914" w:type="dxa"/>
            <w:gridSpan w:val="2"/>
            <w:tcBorders>
              <w:top w:val="single" w:sz="6" w:space="0" w:color="auto"/>
              <w:left w:val="single" w:sz="6" w:space="0" w:color="auto"/>
              <w:bottom w:val="single" w:sz="6" w:space="0" w:color="auto"/>
              <w:right w:val="single" w:sz="6" w:space="0" w:color="auto"/>
            </w:tcBorders>
          </w:tcPr>
          <w:p w:rsidR="002B1107" w:rsidRPr="002B1107" w:rsidRDefault="002B1107" w:rsidP="00B049E3">
            <w:pPr>
              <w:pStyle w:val="Texto"/>
              <w:spacing w:line="221" w:lineRule="exact"/>
              <w:ind w:firstLine="0"/>
              <w:jc w:val="center"/>
              <w:rPr>
                <w:szCs w:val="18"/>
              </w:rPr>
            </w:pPr>
            <w:r w:rsidRPr="002B1107">
              <w:rPr>
                <w:szCs w:val="18"/>
              </w:rPr>
              <w:t>Efectuar la compensación.</w:t>
            </w:r>
          </w:p>
        </w:tc>
      </w:tr>
      <w:tr w:rsidR="002B1107" w:rsidRPr="002B1107">
        <w:tblPrEx>
          <w:tblCellMar>
            <w:top w:w="0" w:type="dxa"/>
            <w:bottom w:w="0" w:type="dxa"/>
          </w:tblCellMar>
        </w:tblPrEx>
        <w:trPr>
          <w:trHeight w:val="20"/>
        </w:trPr>
        <w:tc>
          <w:tcPr>
            <w:tcW w:w="3798" w:type="dxa"/>
            <w:tcBorders>
              <w:top w:val="single" w:sz="6" w:space="0" w:color="auto"/>
              <w:left w:val="single" w:sz="6" w:space="0" w:color="auto"/>
              <w:bottom w:val="single" w:sz="6" w:space="0" w:color="auto"/>
              <w:right w:val="single" w:sz="6" w:space="0" w:color="auto"/>
            </w:tcBorders>
          </w:tcPr>
          <w:p w:rsidR="002B1107" w:rsidRPr="002B1107" w:rsidRDefault="002B1107" w:rsidP="00B049E3">
            <w:pPr>
              <w:pStyle w:val="Texto"/>
              <w:spacing w:line="221" w:lineRule="exact"/>
              <w:ind w:firstLine="0"/>
              <w:jc w:val="center"/>
              <w:rPr>
                <w:szCs w:val="18"/>
              </w:rPr>
            </w:pPr>
            <w:r w:rsidRPr="002B1107">
              <w:rPr>
                <w:szCs w:val="18"/>
              </w:rPr>
              <w:t>Cuotas y aportaciones de seguridad social</w:t>
            </w:r>
          </w:p>
        </w:tc>
        <w:tc>
          <w:tcPr>
            <w:tcW w:w="4914" w:type="dxa"/>
            <w:gridSpan w:val="2"/>
            <w:tcBorders>
              <w:top w:val="single" w:sz="6" w:space="0" w:color="auto"/>
              <w:left w:val="single" w:sz="6" w:space="0" w:color="auto"/>
              <w:bottom w:val="single" w:sz="6" w:space="0" w:color="auto"/>
              <w:right w:val="single" w:sz="6" w:space="0" w:color="auto"/>
            </w:tcBorders>
          </w:tcPr>
          <w:p w:rsidR="002B1107" w:rsidRPr="002B1107" w:rsidRDefault="002B1107" w:rsidP="00B049E3">
            <w:pPr>
              <w:pStyle w:val="Texto"/>
              <w:spacing w:line="221" w:lineRule="exact"/>
              <w:ind w:firstLine="0"/>
              <w:jc w:val="center"/>
              <w:rPr>
                <w:szCs w:val="18"/>
              </w:rPr>
            </w:pPr>
            <w:r w:rsidRPr="002B1107">
              <w:rPr>
                <w:szCs w:val="18"/>
              </w:rPr>
              <w:t>Percepción del recurso.</w:t>
            </w:r>
          </w:p>
        </w:tc>
      </w:tr>
      <w:tr w:rsidR="002B1107" w:rsidRPr="002B1107">
        <w:tblPrEx>
          <w:tblCellMar>
            <w:top w:w="0" w:type="dxa"/>
            <w:bottom w:w="0" w:type="dxa"/>
          </w:tblCellMar>
        </w:tblPrEx>
        <w:trPr>
          <w:trHeight w:val="20"/>
        </w:trPr>
        <w:tc>
          <w:tcPr>
            <w:tcW w:w="3798" w:type="dxa"/>
            <w:tcBorders>
              <w:top w:val="single" w:sz="6" w:space="0" w:color="auto"/>
              <w:left w:val="single" w:sz="6" w:space="0" w:color="auto"/>
              <w:bottom w:val="single" w:sz="6" w:space="0" w:color="auto"/>
              <w:right w:val="single" w:sz="6" w:space="0" w:color="auto"/>
            </w:tcBorders>
          </w:tcPr>
          <w:p w:rsidR="002B1107" w:rsidRPr="002B1107" w:rsidRDefault="002B1107" w:rsidP="00B049E3">
            <w:pPr>
              <w:pStyle w:val="Texto"/>
              <w:spacing w:line="221" w:lineRule="exact"/>
              <w:ind w:firstLine="0"/>
              <w:jc w:val="center"/>
              <w:rPr>
                <w:szCs w:val="18"/>
              </w:rPr>
            </w:pPr>
            <w:r w:rsidRPr="002B1107">
              <w:rPr>
                <w:szCs w:val="18"/>
              </w:rPr>
              <w:t>Contribuciones de mejoras</w:t>
            </w:r>
          </w:p>
        </w:tc>
        <w:tc>
          <w:tcPr>
            <w:tcW w:w="4914" w:type="dxa"/>
            <w:gridSpan w:val="2"/>
            <w:tcBorders>
              <w:top w:val="single" w:sz="6" w:space="0" w:color="auto"/>
              <w:left w:val="single" w:sz="6" w:space="0" w:color="auto"/>
              <w:bottom w:val="single" w:sz="6" w:space="0" w:color="auto"/>
              <w:right w:val="single" w:sz="6" w:space="0" w:color="auto"/>
            </w:tcBorders>
          </w:tcPr>
          <w:p w:rsidR="002B1107" w:rsidRPr="002B1107" w:rsidRDefault="002B1107" w:rsidP="00B049E3">
            <w:pPr>
              <w:pStyle w:val="Texto"/>
              <w:spacing w:line="221" w:lineRule="exact"/>
              <w:ind w:firstLine="0"/>
              <w:jc w:val="center"/>
              <w:rPr>
                <w:szCs w:val="18"/>
              </w:rPr>
            </w:pPr>
            <w:r w:rsidRPr="002B1107">
              <w:rPr>
                <w:szCs w:val="18"/>
              </w:rPr>
              <w:t>Percepción del recurso.</w:t>
            </w:r>
          </w:p>
        </w:tc>
      </w:tr>
      <w:tr w:rsidR="002B1107" w:rsidRPr="002B1107">
        <w:tblPrEx>
          <w:tblCellMar>
            <w:top w:w="0" w:type="dxa"/>
            <w:bottom w:w="0" w:type="dxa"/>
          </w:tblCellMar>
        </w:tblPrEx>
        <w:trPr>
          <w:trHeight w:val="20"/>
        </w:trPr>
        <w:tc>
          <w:tcPr>
            <w:tcW w:w="3798" w:type="dxa"/>
            <w:tcBorders>
              <w:top w:val="single" w:sz="6" w:space="0" w:color="auto"/>
              <w:left w:val="single" w:sz="6" w:space="0" w:color="auto"/>
              <w:bottom w:val="single" w:sz="6" w:space="0" w:color="auto"/>
              <w:right w:val="single" w:sz="6" w:space="0" w:color="auto"/>
            </w:tcBorders>
          </w:tcPr>
          <w:p w:rsidR="002B1107" w:rsidRPr="002B1107" w:rsidRDefault="002B1107" w:rsidP="00B049E3">
            <w:pPr>
              <w:pStyle w:val="Texto"/>
              <w:spacing w:line="221" w:lineRule="exact"/>
              <w:ind w:firstLine="0"/>
              <w:jc w:val="center"/>
              <w:rPr>
                <w:szCs w:val="18"/>
              </w:rPr>
            </w:pPr>
            <w:r w:rsidRPr="002B1107">
              <w:rPr>
                <w:szCs w:val="18"/>
              </w:rPr>
              <w:t>Derechos</w:t>
            </w:r>
          </w:p>
        </w:tc>
        <w:tc>
          <w:tcPr>
            <w:tcW w:w="4914" w:type="dxa"/>
            <w:gridSpan w:val="2"/>
            <w:tcBorders>
              <w:top w:val="single" w:sz="6" w:space="0" w:color="auto"/>
              <w:left w:val="single" w:sz="6" w:space="0" w:color="auto"/>
              <w:bottom w:val="single" w:sz="6" w:space="0" w:color="auto"/>
              <w:right w:val="single" w:sz="6" w:space="0" w:color="auto"/>
            </w:tcBorders>
          </w:tcPr>
          <w:p w:rsidR="002B1107" w:rsidRPr="002B1107" w:rsidRDefault="002B1107" w:rsidP="00B049E3">
            <w:pPr>
              <w:pStyle w:val="Texto"/>
              <w:spacing w:line="221" w:lineRule="exact"/>
              <w:ind w:firstLine="0"/>
              <w:jc w:val="center"/>
              <w:rPr>
                <w:szCs w:val="18"/>
              </w:rPr>
            </w:pPr>
            <w:r w:rsidRPr="002B1107">
              <w:rPr>
                <w:szCs w:val="18"/>
              </w:rPr>
              <w:t>Percepción del recurso.</w:t>
            </w:r>
          </w:p>
        </w:tc>
      </w:tr>
      <w:tr w:rsidR="002B1107" w:rsidRPr="002B1107">
        <w:tblPrEx>
          <w:tblCellMar>
            <w:top w:w="0" w:type="dxa"/>
            <w:bottom w:w="0" w:type="dxa"/>
          </w:tblCellMar>
        </w:tblPrEx>
        <w:trPr>
          <w:trHeight w:val="20"/>
        </w:trPr>
        <w:tc>
          <w:tcPr>
            <w:tcW w:w="3798" w:type="dxa"/>
            <w:tcBorders>
              <w:top w:val="single" w:sz="6" w:space="0" w:color="auto"/>
              <w:left w:val="single" w:sz="6" w:space="0" w:color="auto"/>
              <w:bottom w:val="single" w:sz="6" w:space="0" w:color="auto"/>
              <w:right w:val="single" w:sz="6" w:space="0" w:color="auto"/>
            </w:tcBorders>
          </w:tcPr>
          <w:p w:rsidR="002B1107" w:rsidRPr="002B1107" w:rsidRDefault="002B1107" w:rsidP="00B049E3">
            <w:pPr>
              <w:pStyle w:val="Texto"/>
              <w:spacing w:line="221" w:lineRule="exact"/>
              <w:ind w:firstLine="0"/>
              <w:jc w:val="center"/>
              <w:rPr>
                <w:szCs w:val="18"/>
              </w:rPr>
            </w:pPr>
            <w:r w:rsidRPr="002B1107">
              <w:rPr>
                <w:szCs w:val="18"/>
              </w:rPr>
              <w:t>Productos</w:t>
            </w:r>
          </w:p>
        </w:tc>
        <w:tc>
          <w:tcPr>
            <w:tcW w:w="4914" w:type="dxa"/>
            <w:gridSpan w:val="2"/>
            <w:tcBorders>
              <w:top w:val="single" w:sz="6" w:space="0" w:color="auto"/>
              <w:left w:val="single" w:sz="6" w:space="0" w:color="auto"/>
              <w:bottom w:val="single" w:sz="6" w:space="0" w:color="auto"/>
              <w:right w:val="single" w:sz="6" w:space="0" w:color="auto"/>
            </w:tcBorders>
          </w:tcPr>
          <w:p w:rsidR="002B1107" w:rsidRPr="002B1107" w:rsidRDefault="002B1107" w:rsidP="00B049E3">
            <w:pPr>
              <w:pStyle w:val="Texto"/>
              <w:spacing w:line="221" w:lineRule="exact"/>
              <w:ind w:firstLine="0"/>
              <w:jc w:val="center"/>
              <w:rPr>
                <w:szCs w:val="18"/>
              </w:rPr>
            </w:pPr>
            <w:r w:rsidRPr="002B1107">
              <w:rPr>
                <w:szCs w:val="18"/>
              </w:rPr>
              <w:t>Percepción del recurso.</w:t>
            </w:r>
          </w:p>
        </w:tc>
      </w:tr>
      <w:tr w:rsidR="002B1107" w:rsidRPr="002B1107">
        <w:tblPrEx>
          <w:tblCellMar>
            <w:top w:w="0" w:type="dxa"/>
            <w:bottom w:w="0" w:type="dxa"/>
          </w:tblCellMar>
        </w:tblPrEx>
        <w:trPr>
          <w:trHeight w:val="20"/>
        </w:trPr>
        <w:tc>
          <w:tcPr>
            <w:tcW w:w="3798" w:type="dxa"/>
            <w:tcBorders>
              <w:top w:val="single" w:sz="6" w:space="0" w:color="auto"/>
              <w:left w:val="single" w:sz="6" w:space="0" w:color="auto"/>
              <w:bottom w:val="single" w:sz="6" w:space="0" w:color="auto"/>
              <w:right w:val="single" w:sz="6" w:space="0" w:color="auto"/>
            </w:tcBorders>
          </w:tcPr>
          <w:p w:rsidR="002B1107" w:rsidRPr="002B1107" w:rsidRDefault="002B1107" w:rsidP="00B049E3">
            <w:pPr>
              <w:pStyle w:val="Texto"/>
              <w:spacing w:line="221" w:lineRule="exact"/>
              <w:ind w:firstLine="0"/>
              <w:jc w:val="center"/>
              <w:rPr>
                <w:szCs w:val="18"/>
              </w:rPr>
            </w:pPr>
            <w:r w:rsidRPr="002B1107">
              <w:rPr>
                <w:szCs w:val="18"/>
              </w:rPr>
              <w:t>Aprovechamientos</w:t>
            </w:r>
          </w:p>
        </w:tc>
        <w:tc>
          <w:tcPr>
            <w:tcW w:w="4914" w:type="dxa"/>
            <w:gridSpan w:val="2"/>
            <w:tcBorders>
              <w:top w:val="single" w:sz="6" w:space="0" w:color="auto"/>
              <w:left w:val="single" w:sz="6" w:space="0" w:color="auto"/>
              <w:bottom w:val="single" w:sz="6" w:space="0" w:color="auto"/>
              <w:right w:val="single" w:sz="6" w:space="0" w:color="auto"/>
            </w:tcBorders>
          </w:tcPr>
          <w:p w:rsidR="002B1107" w:rsidRPr="002B1107" w:rsidRDefault="002B1107" w:rsidP="00B049E3">
            <w:pPr>
              <w:pStyle w:val="Texto"/>
              <w:spacing w:line="221" w:lineRule="exact"/>
              <w:ind w:firstLine="0"/>
              <w:jc w:val="center"/>
              <w:rPr>
                <w:szCs w:val="18"/>
              </w:rPr>
            </w:pPr>
            <w:r w:rsidRPr="002B1107">
              <w:rPr>
                <w:szCs w:val="18"/>
              </w:rPr>
              <w:t>Percepción del recurso.</w:t>
            </w:r>
          </w:p>
        </w:tc>
      </w:tr>
      <w:tr w:rsidR="002B1107" w:rsidRPr="002B1107">
        <w:tblPrEx>
          <w:tblCellMar>
            <w:top w:w="0" w:type="dxa"/>
            <w:bottom w:w="0" w:type="dxa"/>
          </w:tblCellMar>
        </w:tblPrEx>
        <w:trPr>
          <w:trHeight w:val="20"/>
        </w:trPr>
        <w:tc>
          <w:tcPr>
            <w:tcW w:w="3798" w:type="dxa"/>
            <w:tcBorders>
              <w:top w:val="single" w:sz="6" w:space="0" w:color="auto"/>
              <w:left w:val="single" w:sz="6" w:space="0" w:color="auto"/>
              <w:bottom w:val="single" w:sz="6" w:space="0" w:color="auto"/>
              <w:right w:val="single" w:sz="6" w:space="0" w:color="auto"/>
            </w:tcBorders>
          </w:tcPr>
          <w:p w:rsidR="002B1107" w:rsidRPr="002B1107" w:rsidRDefault="002B1107" w:rsidP="00B049E3">
            <w:pPr>
              <w:pStyle w:val="Texto"/>
              <w:spacing w:line="221" w:lineRule="exact"/>
              <w:ind w:firstLine="0"/>
              <w:jc w:val="center"/>
              <w:rPr>
                <w:szCs w:val="18"/>
              </w:rPr>
            </w:pPr>
            <w:r w:rsidRPr="002B1107">
              <w:rPr>
                <w:szCs w:val="18"/>
              </w:rPr>
              <w:t>Ingresos por venta de bienes y servicios</w:t>
            </w:r>
          </w:p>
        </w:tc>
        <w:tc>
          <w:tcPr>
            <w:tcW w:w="2490" w:type="dxa"/>
            <w:tcBorders>
              <w:top w:val="single" w:sz="6" w:space="0" w:color="auto"/>
              <w:left w:val="single" w:sz="6" w:space="0" w:color="auto"/>
              <w:bottom w:val="single" w:sz="6" w:space="0" w:color="auto"/>
              <w:right w:val="single" w:sz="6" w:space="0" w:color="auto"/>
            </w:tcBorders>
          </w:tcPr>
          <w:p w:rsidR="002B1107" w:rsidRPr="002B1107" w:rsidRDefault="002B1107" w:rsidP="00B049E3">
            <w:pPr>
              <w:pStyle w:val="Texto"/>
              <w:spacing w:line="221" w:lineRule="exact"/>
              <w:ind w:firstLine="0"/>
              <w:jc w:val="center"/>
              <w:rPr>
                <w:szCs w:val="18"/>
              </w:rPr>
            </w:pPr>
            <w:r w:rsidRPr="002B1107">
              <w:rPr>
                <w:szCs w:val="18"/>
              </w:rPr>
              <w:t>La emisión de la factura o de conformidad con las condiciones pactadas en los contratos correspondientes.</w:t>
            </w:r>
          </w:p>
        </w:tc>
        <w:tc>
          <w:tcPr>
            <w:tcW w:w="2424" w:type="dxa"/>
            <w:tcBorders>
              <w:top w:val="single" w:sz="6" w:space="0" w:color="auto"/>
              <w:left w:val="single" w:sz="6" w:space="0" w:color="auto"/>
              <w:bottom w:val="single" w:sz="6" w:space="0" w:color="auto"/>
              <w:right w:val="single" w:sz="6" w:space="0" w:color="auto"/>
            </w:tcBorders>
          </w:tcPr>
          <w:p w:rsidR="002B1107" w:rsidRPr="002B1107" w:rsidRDefault="002B1107" w:rsidP="00B049E3">
            <w:pPr>
              <w:pStyle w:val="Texto"/>
              <w:spacing w:line="221" w:lineRule="exact"/>
              <w:ind w:firstLine="0"/>
              <w:jc w:val="center"/>
              <w:rPr>
                <w:szCs w:val="18"/>
              </w:rPr>
            </w:pPr>
            <w:r w:rsidRPr="002B1107">
              <w:rPr>
                <w:szCs w:val="18"/>
              </w:rPr>
              <w:t>Percepción del recurso por la venta de bienes y servicios.</w:t>
            </w:r>
          </w:p>
        </w:tc>
      </w:tr>
      <w:tr w:rsidR="002B1107" w:rsidRPr="002B1107">
        <w:tblPrEx>
          <w:tblCellMar>
            <w:top w:w="0" w:type="dxa"/>
            <w:bottom w:w="0" w:type="dxa"/>
          </w:tblCellMar>
        </w:tblPrEx>
        <w:trPr>
          <w:trHeight w:val="20"/>
        </w:trPr>
        <w:tc>
          <w:tcPr>
            <w:tcW w:w="3798" w:type="dxa"/>
            <w:tcBorders>
              <w:top w:val="single" w:sz="6" w:space="0" w:color="auto"/>
              <w:left w:val="single" w:sz="6" w:space="0" w:color="auto"/>
              <w:bottom w:val="single" w:sz="6" w:space="0" w:color="auto"/>
              <w:right w:val="single" w:sz="6" w:space="0" w:color="auto"/>
            </w:tcBorders>
          </w:tcPr>
          <w:p w:rsidR="002B1107" w:rsidRPr="002B1107" w:rsidRDefault="002B1107" w:rsidP="00B049E3">
            <w:pPr>
              <w:pStyle w:val="Texto"/>
              <w:spacing w:line="221" w:lineRule="exact"/>
              <w:ind w:firstLine="0"/>
              <w:jc w:val="center"/>
              <w:rPr>
                <w:szCs w:val="18"/>
              </w:rPr>
            </w:pPr>
            <w:r w:rsidRPr="002B1107">
              <w:rPr>
                <w:szCs w:val="18"/>
              </w:rPr>
              <w:t>Participaciones</w:t>
            </w:r>
          </w:p>
        </w:tc>
        <w:tc>
          <w:tcPr>
            <w:tcW w:w="4914" w:type="dxa"/>
            <w:gridSpan w:val="2"/>
            <w:tcBorders>
              <w:top w:val="single" w:sz="6" w:space="0" w:color="auto"/>
              <w:left w:val="single" w:sz="6" w:space="0" w:color="auto"/>
              <w:bottom w:val="single" w:sz="6" w:space="0" w:color="auto"/>
              <w:right w:val="single" w:sz="6" w:space="0" w:color="auto"/>
            </w:tcBorders>
          </w:tcPr>
          <w:p w:rsidR="002B1107" w:rsidRPr="002B1107" w:rsidRDefault="002B1107" w:rsidP="00B049E3">
            <w:pPr>
              <w:pStyle w:val="Texto"/>
              <w:spacing w:line="221" w:lineRule="exact"/>
              <w:ind w:firstLine="0"/>
              <w:jc w:val="center"/>
              <w:rPr>
                <w:szCs w:val="18"/>
              </w:rPr>
            </w:pPr>
            <w:r w:rsidRPr="002B1107">
              <w:rPr>
                <w:szCs w:val="18"/>
              </w:rPr>
              <w:t>Percepción del recurso.</w:t>
            </w:r>
          </w:p>
        </w:tc>
      </w:tr>
      <w:tr w:rsidR="002B1107" w:rsidRPr="002B1107">
        <w:tblPrEx>
          <w:tblCellMar>
            <w:top w:w="0" w:type="dxa"/>
            <w:bottom w:w="0" w:type="dxa"/>
          </w:tblCellMar>
        </w:tblPrEx>
        <w:trPr>
          <w:trHeight w:val="20"/>
        </w:trPr>
        <w:tc>
          <w:tcPr>
            <w:tcW w:w="3798" w:type="dxa"/>
            <w:tcBorders>
              <w:top w:val="single" w:sz="6" w:space="0" w:color="auto"/>
              <w:left w:val="single" w:sz="6" w:space="0" w:color="auto"/>
              <w:bottom w:val="single" w:sz="6" w:space="0" w:color="auto"/>
              <w:right w:val="single" w:sz="6" w:space="0" w:color="auto"/>
            </w:tcBorders>
          </w:tcPr>
          <w:p w:rsidR="002B1107" w:rsidRPr="002B1107" w:rsidRDefault="002B1107" w:rsidP="00B049E3">
            <w:pPr>
              <w:pStyle w:val="Texto"/>
              <w:spacing w:line="221" w:lineRule="exact"/>
              <w:ind w:firstLine="0"/>
              <w:jc w:val="center"/>
              <w:rPr>
                <w:szCs w:val="18"/>
              </w:rPr>
            </w:pPr>
            <w:r w:rsidRPr="002B1107">
              <w:rPr>
                <w:szCs w:val="18"/>
              </w:rPr>
              <w:t>Aportaciones</w:t>
            </w:r>
          </w:p>
        </w:tc>
        <w:tc>
          <w:tcPr>
            <w:tcW w:w="2490" w:type="dxa"/>
            <w:tcBorders>
              <w:top w:val="single" w:sz="6" w:space="0" w:color="auto"/>
              <w:left w:val="single" w:sz="6" w:space="0" w:color="auto"/>
              <w:bottom w:val="single" w:sz="6" w:space="0" w:color="auto"/>
              <w:right w:val="single" w:sz="6" w:space="0" w:color="auto"/>
            </w:tcBorders>
          </w:tcPr>
          <w:p w:rsidR="002B1107" w:rsidRPr="002B1107" w:rsidRDefault="002B1107" w:rsidP="00B049E3">
            <w:pPr>
              <w:pStyle w:val="Texto"/>
              <w:spacing w:line="221" w:lineRule="exact"/>
              <w:ind w:firstLine="0"/>
              <w:jc w:val="center"/>
              <w:rPr>
                <w:szCs w:val="18"/>
              </w:rPr>
            </w:pPr>
            <w:r w:rsidRPr="002B1107">
              <w:rPr>
                <w:szCs w:val="18"/>
              </w:rPr>
              <w:t>Cumplimiento de las reglas de operación y de conformidad con los calendarios de pago.</w:t>
            </w:r>
          </w:p>
        </w:tc>
        <w:tc>
          <w:tcPr>
            <w:tcW w:w="2424" w:type="dxa"/>
            <w:tcBorders>
              <w:top w:val="single" w:sz="6" w:space="0" w:color="auto"/>
              <w:left w:val="single" w:sz="6" w:space="0" w:color="auto"/>
              <w:bottom w:val="single" w:sz="6" w:space="0" w:color="auto"/>
              <w:right w:val="single" w:sz="6" w:space="0" w:color="auto"/>
            </w:tcBorders>
          </w:tcPr>
          <w:p w:rsidR="002B1107" w:rsidRPr="002B1107" w:rsidRDefault="002B1107" w:rsidP="00B049E3">
            <w:pPr>
              <w:pStyle w:val="Texto"/>
              <w:spacing w:line="221" w:lineRule="exact"/>
              <w:ind w:firstLine="0"/>
              <w:jc w:val="center"/>
              <w:rPr>
                <w:szCs w:val="18"/>
              </w:rPr>
            </w:pPr>
            <w:r w:rsidRPr="002B1107">
              <w:rPr>
                <w:szCs w:val="18"/>
              </w:rPr>
              <w:t>Percepción del recurso.</w:t>
            </w:r>
          </w:p>
        </w:tc>
      </w:tr>
      <w:tr w:rsidR="002B1107" w:rsidRPr="002B1107">
        <w:tblPrEx>
          <w:tblCellMar>
            <w:top w:w="0" w:type="dxa"/>
            <w:bottom w:w="0" w:type="dxa"/>
          </w:tblCellMar>
        </w:tblPrEx>
        <w:trPr>
          <w:trHeight w:val="20"/>
        </w:trPr>
        <w:tc>
          <w:tcPr>
            <w:tcW w:w="3798" w:type="dxa"/>
            <w:tcBorders>
              <w:top w:val="single" w:sz="6" w:space="0" w:color="auto"/>
              <w:left w:val="single" w:sz="6" w:space="0" w:color="auto"/>
              <w:bottom w:val="single" w:sz="6" w:space="0" w:color="auto"/>
              <w:right w:val="single" w:sz="6" w:space="0" w:color="auto"/>
            </w:tcBorders>
          </w:tcPr>
          <w:p w:rsidR="002B1107" w:rsidRPr="002B1107" w:rsidRDefault="002B1107" w:rsidP="00B049E3">
            <w:pPr>
              <w:pStyle w:val="Texto"/>
              <w:spacing w:line="221" w:lineRule="exact"/>
              <w:ind w:firstLine="0"/>
              <w:jc w:val="center"/>
              <w:rPr>
                <w:szCs w:val="18"/>
              </w:rPr>
            </w:pPr>
            <w:r w:rsidRPr="002B1107">
              <w:rPr>
                <w:szCs w:val="18"/>
              </w:rPr>
              <w:t>Recursos por convenios</w:t>
            </w:r>
          </w:p>
        </w:tc>
        <w:tc>
          <w:tcPr>
            <w:tcW w:w="4914" w:type="dxa"/>
            <w:gridSpan w:val="2"/>
            <w:tcBorders>
              <w:top w:val="single" w:sz="6" w:space="0" w:color="auto"/>
              <w:left w:val="single" w:sz="6" w:space="0" w:color="auto"/>
              <w:bottom w:val="single" w:sz="6" w:space="0" w:color="auto"/>
              <w:right w:val="single" w:sz="6" w:space="0" w:color="auto"/>
            </w:tcBorders>
          </w:tcPr>
          <w:p w:rsidR="002B1107" w:rsidRPr="002B1107" w:rsidRDefault="002B1107" w:rsidP="00B049E3">
            <w:pPr>
              <w:pStyle w:val="Texto"/>
              <w:spacing w:line="221" w:lineRule="exact"/>
              <w:ind w:firstLine="0"/>
              <w:jc w:val="center"/>
              <w:rPr>
                <w:szCs w:val="18"/>
              </w:rPr>
            </w:pPr>
            <w:r w:rsidRPr="002B1107">
              <w:rPr>
                <w:szCs w:val="18"/>
              </w:rPr>
              <w:t>Percepción del recurso</w:t>
            </w:r>
          </w:p>
        </w:tc>
      </w:tr>
      <w:tr w:rsidR="002B1107" w:rsidRPr="002B1107">
        <w:tblPrEx>
          <w:tblCellMar>
            <w:top w:w="0" w:type="dxa"/>
            <w:bottom w:w="0" w:type="dxa"/>
          </w:tblCellMar>
        </w:tblPrEx>
        <w:trPr>
          <w:trHeight w:val="20"/>
        </w:trPr>
        <w:tc>
          <w:tcPr>
            <w:tcW w:w="3798" w:type="dxa"/>
            <w:tcBorders>
              <w:top w:val="single" w:sz="6" w:space="0" w:color="auto"/>
              <w:left w:val="single" w:sz="6" w:space="0" w:color="auto"/>
              <w:bottom w:val="single" w:sz="6" w:space="0" w:color="auto"/>
              <w:right w:val="single" w:sz="6" w:space="0" w:color="auto"/>
            </w:tcBorders>
          </w:tcPr>
          <w:p w:rsidR="002B1107" w:rsidRPr="002B1107" w:rsidRDefault="002B1107" w:rsidP="00B049E3">
            <w:pPr>
              <w:pStyle w:val="Texto"/>
              <w:spacing w:line="221" w:lineRule="exact"/>
              <w:ind w:firstLine="0"/>
              <w:jc w:val="center"/>
              <w:rPr>
                <w:szCs w:val="18"/>
              </w:rPr>
            </w:pPr>
            <w:r w:rsidRPr="002B1107">
              <w:rPr>
                <w:szCs w:val="18"/>
              </w:rPr>
              <w:t>Financiamientos</w:t>
            </w:r>
          </w:p>
        </w:tc>
        <w:tc>
          <w:tcPr>
            <w:tcW w:w="4914" w:type="dxa"/>
            <w:gridSpan w:val="2"/>
            <w:tcBorders>
              <w:top w:val="single" w:sz="6" w:space="0" w:color="auto"/>
              <w:left w:val="single" w:sz="6" w:space="0" w:color="auto"/>
              <w:bottom w:val="single" w:sz="6" w:space="0" w:color="auto"/>
              <w:right w:val="single" w:sz="6" w:space="0" w:color="auto"/>
            </w:tcBorders>
          </w:tcPr>
          <w:p w:rsidR="002B1107" w:rsidRPr="002B1107" w:rsidRDefault="002B1107" w:rsidP="00B049E3">
            <w:pPr>
              <w:pStyle w:val="Texto"/>
              <w:spacing w:line="221" w:lineRule="exact"/>
              <w:ind w:firstLine="0"/>
              <w:jc w:val="center"/>
              <w:rPr>
                <w:szCs w:val="18"/>
              </w:rPr>
            </w:pPr>
            <w:r w:rsidRPr="002B1107">
              <w:rPr>
                <w:szCs w:val="18"/>
              </w:rPr>
              <w:t>Que se reciben los recursos.</w:t>
            </w:r>
          </w:p>
        </w:tc>
      </w:tr>
    </w:tbl>
    <w:p w:rsidR="002B1107" w:rsidRPr="002B1107" w:rsidRDefault="002B1107" w:rsidP="007D4C4F">
      <w:pPr>
        <w:pStyle w:val="ANOTACION"/>
      </w:pPr>
      <w:r w:rsidRPr="002B1107">
        <w:t>TRANSITORIOS</w:t>
      </w:r>
    </w:p>
    <w:p w:rsidR="002B1107" w:rsidRPr="002B1107" w:rsidRDefault="002B1107" w:rsidP="002B1107">
      <w:pPr>
        <w:pStyle w:val="Texto"/>
        <w:rPr>
          <w:szCs w:val="18"/>
        </w:rPr>
      </w:pPr>
      <w:r w:rsidRPr="002B1107">
        <w:rPr>
          <w:szCs w:val="18"/>
        </w:rPr>
        <w:t>PRIMERO.- El presente Acuerdo entrará en vigor al día siguiente al de su publicación en el Diario Oficial de la Federación.</w:t>
      </w:r>
    </w:p>
    <w:p w:rsidR="002B1107" w:rsidRPr="002B1107" w:rsidRDefault="002B1107" w:rsidP="002B1107">
      <w:pPr>
        <w:pStyle w:val="Texto"/>
        <w:rPr>
          <w:szCs w:val="18"/>
        </w:rPr>
      </w:pPr>
      <w:r w:rsidRPr="002B1107">
        <w:rPr>
          <w:szCs w:val="18"/>
        </w:rPr>
        <w:t>SEGUNDO.- En cumplimiento a lo dispuesto por el artículo 7, segundo párrafo de la Ley General de Contabilidad Gubernamental, el presente Acuerdo deberá ser publicado en los medios oficiales de difusión escritos y electrónicos de las entidades federativas, municipios y demarcaciones territoriales del</w:t>
      </w:r>
      <w:r w:rsidR="00A85EC2">
        <w:rPr>
          <w:szCs w:val="18"/>
        </w:rPr>
        <w:t xml:space="preserve"> </w:t>
      </w:r>
      <w:r w:rsidRPr="002B1107">
        <w:rPr>
          <w:szCs w:val="18"/>
        </w:rPr>
        <w:t>Distrito Federal.</w:t>
      </w:r>
    </w:p>
    <w:p w:rsidR="002B1107" w:rsidRPr="002B1107" w:rsidRDefault="002B1107" w:rsidP="002B1107">
      <w:pPr>
        <w:pStyle w:val="Texto"/>
        <w:rPr>
          <w:szCs w:val="18"/>
        </w:rPr>
      </w:pPr>
      <w:r w:rsidRPr="002B1107">
        <w:rPr>
          <w:szCs w:val="18"/>
        </w:rPr>
        <w:t>TERCERO.- En términos de los artículos 7 y 15 de la Ley General de Contabilidad Gubernamental, el Secretario Técnico llevará un registro público en una página de Internet de los actos que los gobiernos de las entidades federativas, municipios y demarcaciones territoriales del Distrito Federal realicen para la adopción e implementación del presente Acuerdo. Para tales efectos, los gobiernos de las entidades federativas, los municipios y las demarcaciones territoriales del Distrito Federal remitirán al Secretario Técnico la información relacionada con dichos actos. Dicha información deberá ser enviada a la dirección electrónica conac_sriotecnico@hacienda.gob.mx, dentro de un plazo de 15 días hábiles contados a partir de la conclusión del plazo fijado por el CONAC. Los municipios sujetos del presente lineamiento podrán enviar la información antes referida por correo ordinario.</w:t>
      </w:r>
    </w:p>
    <w:p w:rsidR="002B1107" w:rsidRDefault="002B1107" w:rsidP="002B1107">
      <w:pPr>
        <w:pStyle w:val="Texto"/>
        <w:rPr>
          <w:szCs w:val="18"/>
        </w:rPr>
      </w:pPr>
      <w:r w:rsidRPr="002B1107">
        <w:rPr>
          <w:szCs w:val="18"/>
        </w:rPr>
        <w:t>CUARTO.- El presente acuerdo deberá ser revisado por el Consejo Nacional de Armonización Contable atendiendo a los avances en las entidades federativas, los municipios y sus entes públicos en la implementación de la Armonización Contable a más tardar en diciembre de 2015, para su ratificación o en su caso modificación.</w:t>
      </w:r>
    </w:p>
    <w:p w:rsidR="007D4C4F" w:rsidRDefault="002B1107" w:rsidP="007D4C4F">
      <w:pPr>
        <w:pStyle w:val="Texto"/>
      </w:pPr>
      <w:r w:rsidRPr="002B1107">
        <w:lastRenderedPageBreak/>
        <w:t xml:space="preserve">En la Ciudad de México, siendo las trece horas del día 19 de julio del año dos mil trece, con fundamento en los artículos 11 de la Ley General de Contabilidad Gubernamental, 12, fracción IV, y 64 del Reglamento Interior de la Secretaría de Hacienda y Crédito Público, el Titular de la Unidad de Contabilidad Gubernamental de la Subsecretaría de Egresos de la Secretaría de Hacienda y Crédito Público, en mi calidad de Secretario Técnico del Consejo Nacional de Armonización Contable, </w:t>
      </w:r>
      <w:r w:rsidRPr="004061BE">
        <w:t>HAGO CONSTAR Y CERTIFICO</w:t>
      </w:r>
      <w:r w:rsidRPr="002B1107">
        <w:t xml:space="preserve"> que el documento consistente en 2 fojas útiles, impresas por anverso y reverso, rubricadas y cotejadas, corresponde con el texto del Acuerdo que Reforma las Normas y Metodología para la Determinación de los Momentos Contables de</w:t>
      </w:r>
      <w:r w:rsidR="00A85EC2">
        <w:t xml:space="preserve"> </w:t>
      </w:r>
      <w:r w:rsidRPr="002B1107">
        <w:t>los Ingresos aprobado por el Consejo Nacional de Armonización Contable, mismo que estuvo a la vista de los integrantes de dicho Consejo en su tercera reunión celebrada, en segunda convocatoria, el 19 de julio del presente año, situación que se certifica para los efectos legales conducentes.</w:t>
      </w:r>
      <w:r w:rsidR="007D4C4F">
        <w:t>-</w:t>
      </w:r>
      <w:r w:rsidRPr="002B1107">
        <w:t xml:space="preserve"> </w:t>
      </w:r>
      <w:r w:rsidR="007D4C4F">
        <w:t xml:space="preserve">El </w:t>
      </w:r>
      <w:r w:rsidR="007D4C4F" w:rsidRPr="002B1107">
        <w:t>Secretario Técnico</w:t>
      </w:r>
      <w:r w:rsidR="00A85EC2">
        <w:t xml:space="preserve"> </w:t>
      </w:r>
      <w:r w:rsidR="007D4C4F" w:rsidRPr="002B1107">
        <w:t>del Consejo Nacional de Armonización Contable</w:t>
      </w:r>
      <w:r w:rsidR="007D4C4F">
        <w:t xml:space="preserve">, </w:t>
      </w:r>
      <w:r w:rsidR="007D4C4F" w:rsidRPr="002B1107">
        <w:rPr>
          <w:b/>
        </w:rPr>
        <w:t>Juan Manuel Alcocer Gamba</w:t>
      </w:r>
      <w:r w:rsidR="007D4C4F">
        <w:t>.- Rúbrica.</w:t>
      </w:r>
    </w:p>
    <w:p w:rsidR="007D4C4F" w:rsidRDefault="007D4C4F" w:rsidP="002B1107">
      <w:pPr>
        <w:pStyle w:val="Texto"/>
      </w:pPr>
    </w:p>
    <w:sectPr w:rsidR="007D4C4F" w:rsidSect="00937C80">
      <w:headerReference w:type="even" r:id="rId7"/>
      <w:headerReference w:type="default" r:id="rId8"/>
      <w:pgSz w:w="12240" w:h="15840" w:code="1"/>
      <w:pgMar w:top="1152" w:right="1699" w:bottom="1296" w:left="1699" w:header="706" w:footer="706" w:gutter="0"/>
      <w:pgNumType w:start="15"/>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6CD3" w:rsidRDefault="00CD6CD3">
      <w:r>
        <w:separator/>
      </w:r>
    </w:p>
  </w:endnote>
  <w:endnote w:type="continuationSeparator" w:id="0">
    <w:p w:rsidR="00CD6CD3" w:rsidRDefault="00CD6CD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G Palacio (W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Helv">
    <w:altName w:val="Helvetica"/>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61002A87" w:usb1="80000000" w:usb2="00000008" w:usb3="00000000" w:csb0="000101FF" w:csb1="00000000"/>
  </w:font>
  <w:font w:name="Garamond">
    <w:panose1 w:val="02020404030301010803"/>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6CD3" w:rsidRDefault="00CD6CD3">
      <w:r>
        <w:separator/>
      </w:r>
    </w:p>
  </w:footnote>
  <w:footnote w:type="continuationSeparator" w:id="0">
    <w:p w:rsidR="00CD6CD3" w:rsidRDefault="00CD6CD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532B" w:rsidRPr="00A85EC2" w:rsidRDefault="00A85EC2" w:rsidP="009A1B40">
    <w:pPr>
      <w:pStyle w:val="Fechas"/>
      <w:rPr>
        <w:rFonts w:cs="Times New Roman"/>
      </w:rPr>
    </w:pPr>
    <w:r>
      <w:rPr>
        <w:rFonts w:cs="Times New Roman"/>
      </w:rPr>
      <w:t xml:space="preserve"> </w:t>
    </w:r>
    <w:r w:rsidR="00937C80" w:rsidRPr="00A85EC2">
      <w:rPr>
        <w:rFonts w:cs="Times New Roman"/>
      </w:rPr>
      <w:t xml:space="preserve">     (Primera Sección)</w:t>
    </w:r>
    <w:r w:rsidR="0027532B" w:rsidRPr="00A85EC2">
      <w:rPr>
        <w:rFonts w:cs="Times New Roman"/>
      </w:rPr>
      <w:tab/>
      <w:t>DIARIO OFICIAL</w:t>
    </w:r>
    <w:r w:rsidR="0027532B" w:rsidRPr="00A85EC2">
      <w:rPr>
        <w:rFonts w:cs="Times New Roman"/>
      </w:rPr>
      <w:tab/>
    </w:r>
    <w:proofErr w:type="gramStart"/>
    <w:r w:rsidR="0027532B" w:rsidRPr="00A85EC2">
      <w:rPr>
        <w:rFonts w:cs="Times New Roman"/>
      </w:rPr>
      <w:t>Jueves</w:t>
    </w:r>
    <w:proofErr w:type="gramEnd"/>
    <w:r w:rsidR="0027532B" w:rsidRPr="00A85EC2">
      <w:rPr>
        <w:rFonts w:cs="Times New Roman"/>
      </w:rPr>
      <w:t xml:space="preserve"> 8 de agosto de 2013</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532B" w:rsidRPr="00A85EC2" w:rsidRDefault="0027532B" w:rsidP="009A1B40">
    <w:pPr>
      <w:pStyle w:val="Fechas"/>
      <w:rPr>
        <w:rFonts w:cs="Times New Roman"/>
      </w:rPr>
    </w:pPr>
    <w:r w:rsidRPr="00A85EC2">
      <w:rPr>
        <w:rFonts w:cs="Times New Roman"/>
      </w:rPr>
      <w:t>Jueves 8 de agosto de 2013</w:t>
    </w:r>
    <w:r w:rsidRPr="00A85EC2">
      <w:rPr>
        <w:rFonts w:cs="Times New Roman"/>
      </w:rPr>
      <w:tab/>
      <w:t>DIARIO OFICIAL</w:t>
    </w:r>
    <w:r w:rsidRPr="00A85EC2">
      <w:rPr>
        <w:rFonts w:cs="Times New Roman"/>
      </w:rPr>
      <w:tab/>
    </w:r>
    <w:r w:rsidR="00937C80" w:rsidRPr="00A85EC2">
      <w:rPr>
        <w:rFonts w:cs="Times New Roman"/>
      </w:rPr>
      <w:t xml:space="preserve">(Primera Sección)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180583"/>
    <w:multiLevelType w:val="hybridMultilevel"/>
    <w:tmpl w:val="3F66B954"/>
    <w:lvl w:ilvl="0" w:tplc="080A0001">
      <w:start w:val="1"/>
      <w:numFmt w:val="bullet"/>
      <w:lvlText w:val=""/>
      <w:lvlJc w:val="left"/>
      <w:pPr>
        <w:ind w:left="1146" w:hanging="360"/>
      </w:pPr>
      <w:rPr>
        <w:rFonts w:ascii="Symbol" w:hAnsi="Symbol" w:hint="default"/>
      </w:rPr>
    </w:lvl>
    <w:lvl w:ilvl="1" w:tplc="080A0003" w:tentative="1">
      <w:start w:val="1"/>
      <w:numFmt w:val="bullet"/>
      <w:lvlText w:val="o"/>
      <w:lvlJc w:val="left"/>
      <w:pPr>
        <w:ind w:left="1866" w:hanging="360"/>
      </w:pPr>
      <w:rPr>
        <w:rFonts w:ascii="Courier New" w:hAnsi="Courier New" w:cs="Courier New" w:hint="default"/>
      </w:rPr>
    </w:lvl>
    <w:lvl w:ilvl="2" w:tplc="080A0005" w:tentative="1">
      <w:start w:val="1"/>
      <w:numFmt w:val="bullet"/>
      <w:lvlText w:val=""/>
      <w:lvlJc w:val="left"/>
      <w:pPr>
        <w:ind w:left="2586" w:hanging="360"/>
      </w:pPr>
      <w:rPr>
        <w:rFonts w:ascii="Wingdings" w:hAnsi="Wingdings" w:hint="default"/>
      </w:rPr>
    </w:lvl>
    <w:lvl w:ilvl="3" w:tplc="080A0001" w:tentative="1">
      <w:start w:val="1"/>
      <w:numFmt w:val="bullet"/>
      <w:lvlText w:val=""/>
      <w:lvlJc w:val="left"/>
      <w:pPr>
        <w:ind w:left="3306" w:hanging="360"/>
      </w:pPr>
      <w:rPr>
        <w:rFonts w:ascii="Symbol" w:hAnsi="Symbol" w:hint="default"/>
      </w:rPr>
    </w:lvl>
    <w:lvl w:ilvl="4" w:tplc="080A0003" w:tentative="1">
      <w:start w:val="1"/>
      <w:numFmt w:val="bullet"/>
      <w:lvlText w:val="o"/>
      <w:lvlJc w:val="left"/>
      <w:pPr>
        <w:ind w:left="4026" w:hanging="360"/>
      </w:pPr>
      <w:rPr>
        <w:rFonts w:ascii="Courier New" w:hAnsi="Courier New" w:cs="Courier New" w:hint="default"/>
      </w:rPr>
    </w:lvl>
    <w:lvl w:ilvl="5" w:tplc="080A0005" w:tentative="1">
      <w:start w:val="1"/>
      <w:numFmt w:val="bullet"/>
      <w:lvlText w:val=""/>
      <w:lvlJc w:val="left"/>
      <w:pPr>
        <w:ind w:left="4746" w:hanging="360"/>
      </w:pPr>
      <w:rPr>
        <w:rFonts w:ascii="Wingdings" w:hAnsi="Wingdings" w:hint="default"/>
      </w:rPr>
    </w:lvl>
    <w:lvl w:ilvl="6" w:tplc="080A0001" w:tentative="1">
      <w:start w:val="1"/>
      <w:numFmt w:val="bullet"/>
      <w:lvlText w:val=""/>
      <w:lvlJc w:val="left"/>
      <w:pPr>
        <w:ind w:left="5466" w:hanging="360"/>
      </w:pPr>
      <w:rPr>
        <w:rFonts w:ascii="Symbol" w:hAnsi="Symbol" w:hint="default"/>
      </w:rPr>
    </w:lvl>
    <w:lvl w:ilvl="7" w:tplc="080A0003" w:tentative="1">
      <w:start w:val="1"/>
      <w:numFmt w:val="bullet"/>
      <w:lvlText w:val="o"/>
      <w:lvlJc w:val="left"/>
      <w:pPr>
        <w:ind w:left="6186" w:hanging="360"/>
      </w:pPr>
      <w:rPr>
        <w:rFonts w:ascii="Courier New" w:hAnsi="Courier New" w:cs="Courier New" w:hint="default"/>
      </w:rPr>
    </w:lvl>
    <w:lvl w:ilvl="8" w:tplc="080A0005" w:tentative="1">
      <w:start w:val="1"/>
      <w:numFmt w:val="bullet"/>
      <w:lvlText w:val=""/>
      <w:lvlJc w:val="left"/>
      <w:pPr>
        <w:ind w:left="6906" w:hanging="360"/>
      </w:pPr>
      <w:rPr>
        <w:rFonts w:ascii="Wingdings" w:hAnsi="Wingdings" w:hint="default"/>
      </w:rPr>
    </w:lvl>
  </w:abstractNum>
  <w:abstractNum w:abstractNumId="1">
    <w:nsid w:val="2A801CAD"/>
    <w:multiLevelType w:val="hybridMultilevel"/>
    <w:tmpl w:val="B0E616DC"/>
    <w:lvl w:ilvl="0" w:tplc="BB36BFBC">
      <w:start w:val="1"/>
      <w:numFmt w:val="bullet"/>
      <w:lvlRestart w:val="0"/>
      <w:lvlText w:val=""/>
      <w:lvlJc w:val="left"/>
      <w:pPr>
        <w:tabs>
          <w:tab w:val="num" w:pos="720"/>
        </w:tabs>
        <w:ind w:left="720" w:hanging="432"/>
      </w:pPr>
      <w:rPr>
        <w:rFonts w:ascii="Symbol" w:hAnsi="Symbol" w:hint="default"/>
      </w:rPr>
    </w:lvl>
    <w:lvl w:ilvl="1" w:tplc="0C0A0003">
      <w:start w:val="1"/>
      <w:numFmt w:val="bullet"/>
      <w:lvlText w:val="o"/>
      <w:lvlJc w:val="left"/>
      <w:pPr>
        <w:tabs>
          <w:tab w:val="num" w:pos="1728"/>
        </w:tabs>
        <w:ind w:left="1728" w:hanging="360"/>
      </w:pPr>
      <w:rPr>
        <w:rFonts w:ascii="Courier New" w:hAnsi="Courier New" w:hint="default"/>
      </w:rPr>
    </w:lvl>
    <w:lvl w:ilvl="2" w:tplc="0C0A0005">
      <w:start w:val="1"/>
      <w:numFmt w:val="bullet"/>
      <w:lvlText w:val=""/>
      <w:lvlJc w:val="left"/>
      <w:pPr>
        <w:tabs>
          <w:tab w:val="num" w:pos="2448"/>
        </w:tabs>
        <w:ind w:left="2448" w:hanging="360"/>
      </w:pPr>
      <w:rPr>
        <w:rFonts w:ascii="Wingdings" w:hAnsi="Wingdings" w:hint="default"/>
      </w:rPr>
    </w:lvl>
    <w:lvl w:ilvl="3" w:tplc="0C0A0001">
      <w:start w:val="1"/>
      <w:numFmt w:val="bullet"/>
      <w:lvlText w:val=""/>
      <w:lvlJc w:val="left"/>
      <w:pPr>
        <w:tabs>
          <w:tab w:val="num" w:pos="3168"/>
        </w:tabs>
        <w:ind w:left="3168" w:hanging="360"/>
      </w:pPr>
      <w:rPr>
        <w:rFonts w:ascii="Symbol" w:hAnsi="Symbol" w:hint="default"/>
      </w:rPr>
    </w:lvl>
    <w:lvl w:ilvl="4" w:tplc="0C0A0003">
      <w:start w:val="1"/>
      <w:numFmt w:val="bullet"/>
      <w:lvlText w:val="o"/>
      <w:lvlJc w:val="left"/>
      <w:pPr>
        <w:tabs>
          <w:tab w:val="num" w:pos="3888"/>
        </w:tabs>
        <w:ind w:left="3888" w:hanging="360"/>
      </w:pPr>
      <w:rPr>
        <w:rFonts w:ascii="Courier New" w:hAnsi="Courier New" w:hint="default"/>
      </w:rPr>
    </w:lvl>
    <w:lvl w:ilvl="5" w:tplc="0C0A0005">
      <w:start w:val="1"/>
      <w:numFmt w:val="bullet"/>
      <w:lvlText w:val=""/>
      <w:lvlJc w:val="left"/>
      <w:pPr>
        <w:tabs>
          <w:tab w:val="num" w:pos="4608"/>
        </w:tabs>
        <w:ind w:left="4608" w:hanging="360"/>
      </w:pPr>
      <w:rPr>
        <w:rFonts w:ascii="Wingdings" w:hAnsi="Wingdings" w:hint="default"/>
      </w:rPr>
    </w:lvl>
    <w:lvl w:ilvl="6" w:tplc="0C0A0001">
      <w:start w:val="1"/>
      <w:numFmt w:val="bullet"/>
      <w:lvlText w:val=""/>
      <w:lvlJc w:val="left"/>
      <w:pPr>
        <w:tabs>
          <w:tab w:val="num" w:pos="5328"/>
        </w:tabs>
        <w:ind w:left="5328" w:hanging="360"/>
      </w:pPr>
      <w:rPr>
        <w:rFonts w:ascii="Symbol" w:hAnsi="Symbol" w:hint="default"/>
      </w:rPr>
    </w:lvl>
    <w:lvl w:ilvl="7" w:tplc="0C0A0003">
      <w:start w:val="1"/>
      <w:numFmt w:val="bullet"/>
      <w:lvlText w:val="o"/>
      <w:lvlJc w:val="left"/>
      <w:pPr>
        <w:tabs>
          <w:tab w:val="num" w:pos="6048"/>
        </w:tabs>
        <w:ind w:left="6048" w:hanging="360"/>
      </w:pPr>
      <w:rPr>
        <w:rFonts w:ascii="Courier New" w:hAnsi="Courier New" w:hint="default"/>
      </w:rPr>
    </w:lvl>
    <w:lvl w:ilvl="8" w:tplc="0C0A0005">
      <w:start w:val="1"/>
      <w:numFmt w:val="bullet"/>
      <w:lvlText w:val=""/>
      <w:lvlJc w:val="left"/>
      <w:pPr>
        <w:tabs>
          <w:tab w:val="num" w:pos="6768"/>
        </w:tabs>
        <w:ind w:left="6768" w:hanging="360"/>
      </w:pPr>
      <w:rPr>
        <w:rFonts w:ascii="Wingdings" w:hAnsi="Wingdings" w:hint="default"/>
      </w:rPr>
    </w:lvl>
  </w:abstractNum>
  <w:abstractNum w:abstractNumId="2">
    <w:nsid w:val="335C7C13"/>
    <w:multiLevelType w:val="hybridMultilevel"/>
    <w:tmpl w:val="672EEA44"/>
    <w:lvl w:ilvl="0" w:tplc="BB36BFBC">
      <w:start w:val="1"/>
      <w:numFmt w:val="bullet"/>
      <w:lvlRestart w:val="0"/>
      <w:lvlText w:val=""/>
      <w:lvlJc w:val="left"/>
      <w:pPr>
        <w:tabs>
          <w:tab w:val="num" w:pos="720"/>
        </w:tabs>
        <w:ind w:left="720" w:hanging="432"/>
      </w:pPr>
      <w:rPr>
        <w:rFonts w:ascii="Symbol" w:hAnsi="Symbol" w:hint="default"/>
      </w:rPr>
    </w:lvl>
    <w:lvl w:ilvl="1" w:tplc="0C0A0003">
      <w:start w:val="1"/>
      <w:numFmt w:val="bullet"/>
      <w:lvlText w:val="o"/>
      <w:lvlJc w:val="left"/>
      <w:pPr>
        <w:tabs>
          <w:tab w:val="num" w:pos="1728"/>
        </w:tabs>
        <w:ind w:left="1728" w:hanging="360"/>
      </w:pPr>
      <w:rPr>
        <w:rFonts w:ascii="Courier New" w:hAnsi="Courier New" w:hint="default"/>
      </w:rPr>
    </w:lvl>
    <w:lvl w:ilvl="2" w:tplc="0C0A0005">
      <w:start w:val="1"/>
      <w:numFmt w:val="bullet"/>
      <w:lvlText w:val=""/>
      <w:lvlJc w:val="left"/>
      <w:pPr>
        <w:tabs>
          <w:tab w:val="num" w:pos="2448"/>
        </w:tabs>
        <w:ind w:left="2448" w:hanging="360"/>
      </w:pPr>
      <w:rPr>
        <w:rFonts w:ascii="Wingdings" w:hAnsi="Wingdings" w:hint="default"/>
      </w:rPr>
    </w:lvl>
    <w:lvl w:ilvl="3" w:tplc="0C0A0001">
      <w:start w:val="1"/>
      <w:numFmt w:val="bullet"/>
      <w:lvlText w:val=""/>
      <w:lvlJc w:val="left"/>
      <w:pPr>
        <w:tabs>
          <w:tab w:val="num" w:pos="3168"/>
        </w:tabs>
        <w:ind w:left="3168" w:hanging="360"/>
      </w:pPr>
      <w:rPr>
        <w:rFonts w:ascii="Symbol" w:hAnsi="Symbol" w:hint="default"/>
      </w:rPr>
    </w:lvl>
    <w:lvl w:ilvl="4" w:tplc="0C0A0003">
      <w:start w:val="1"/>
      <w:numFmt w:val="bullet"/>
      <w:lvlText w:val="o"/>
      <w:lvlJc w:val="left"/>
      <w:pPr>
        <w:tabs>
          <w:tab w:val="num" w:pos="3888"/>
        </w:tabs>
        <w:ind w:left="3888" w:hanging="360"/>
      </w:pPr>
      <w:rPr>
        <w:rFonts w:ascii="Courier New" w:hAnsi="Courier New" w:hint="default"/>
      </w:rPr>
    </w:lvl>
    <w:lvl w:ilvl="5" w:tplc="0C0A0005">
      <w:start w:val="1"/>
      <w:numFmt w:val="bullet"/>
      <w:lvlText w:val=""/>
      <w:lvlJc w:val="left"/>
      <w:pPr>
        <w:tabs>
          <w:tab w:val="num" w:pos="4608"/>
        </w:tabs>
        <w:ind w:left="4608" w:hanging="360"/>
      </w:pPr>
      <w:rPr>
        <w:rFonts w:ascii="Wingdings" w:hAnsi="Wingdings" w:hint="default"/>
      </w:rPr>
    </w:lvl>
    <w:lvl w:ilvl="6" w:tplc="0C0A0001">
      <w:start w:val="1"/>
      <w:numFmt w:val="bullet"/>
      <w:lvlText w:val=""/>
      <w:lvlJc w:val="left"/>
      <w:pPr>
        <w:tabs>
          <w:tab w:val="num" w:pos="5328"/>
        </w:tabs>
        <w:ind w:left="5328" w:hanging="360"/>
      </w:pPr>
      <w:rPr>
        <w:rFonts w:ascii="Symbol" w:hAnsi="Symbol" w:hint="default"/>
      </w:rPr>
    </w:lvl>
    <w:lvl w:ilvl="7" w:tplc="0C0A0003">
      <w:start w:val="1"/>
      <w:numFmt w:val="bullet"/>
      <w:lvlText w:val="o"/>
      <w:lvlJc w:val="left"/>
      <w:pPr>
        <w:tabs>
          <w:tab w:val="num" w:pos="6048"/>
        </w:tabs>
        <w:ind w:left="6048" w:hanging="360"/>
      </w:pPr>
      <w:rPr>
        <w:rFonts w:ascii="Courier New" w:hAnsi="Courier New" w:hint="default"/>
      </w:rPr>
    </w:lvl>
    <w:lvl w:ilvl="8" w:tplc="0C0A0005">
      <w:start w:val="1"/>
      <w:numFmt w:val="bullet"/>
      <w:lvlText w:val=""/>
      <w:lvlJc w:val="left"/>
      <w:pPr>
        <w:tabs>
          <w:tab w:val="num" w:pos="6768"/>
        </w:tabs>
        <w:ind w:left="6768" w:hanging="360"/>
      </w:pPr>
      <w:rPr>
        <w:rFonts w:ascii="Wingdings" w:hAnsi="Wingdings" w:hint="default"/>
      </w:rPr>
    </w:lvl>
  </w:abstractNum>
  <w:abstractNum w:abstractNumId="3">
    <w:nsid w:val="378107A9"/>
    <w:multiLevelType w:val="hybridMultilevel"/>
    <w:tmpl w:val="03B450DA"/>
    <w:lvl w:ilvl="0" w:tplc="080A000F">
      <w:start w:val="1"/>
      <w:numFmt w:val="decimal"/>
      <w:lvlText w:val="%1."/>
      <w:lvlJc w:val="left"/>
      <w:pPr>
        <w:ind w:left="1117" w:hanging="360"/>
      </w:pPr>
    </w:lvl>
    <w:lvl w:ilvl="1" w:tplc="080A0019" w:tentative="1">
      <w:start w:val="1"/>
      <w:numFmt w:val="lowerLetter"/>
      <w:lvlText w:val="%2."/>
      <w:lvlJc w:val="left"/>
      <w:pPr>
        <w:ind w:left="1837" w:hanging="360"/>
      </w:pPr>
    </w:lvl>
    <w:lvl w:ilvl="2" w:tplc="080A001B" w:tentative="1">
      <w:start w:val="1"/>
      <w:numFmt w:val="lowerRoman"/>
      <w:lvlText w:val="%3."/>
      <w:lvlJc w:val="right"/>
      <w:pPr>
        <w:ind w:left="2557" w:hanging="180"/>
      </w:pPr>
    </w:lvl>
    <w:lvl w:ilvl="3" w:tplc="080A000F" w:tentative="1">
      <w:start w:val="1"/>
      <w:numFmt w:val="decimal"/>
      <w:lvlText w:val="%4."/>
      <w:lvlJc w:val="left"/>
      <w:pPr>
        <w:ind w:left="3277" w:hanging="360"/>
      </w:pPr>
    </w:lvl>
    <w:lvl w:ilvl="4" w:tplc="080A0019" w:tentative="1">
      <w:start w:val="1"/>
      <w:numFmt w:val="lowerLetter"/>
      <w:lvlText w:val="%5."/>
      <w:lvlJc w:val="left"/>
      <w:pPr>
        <w:ind w:left="3997" w:hanging="360"/>
      </w:pPr>
    </w:lvl>
    <w:lvl w:ilvl="5" w:tplc="080A001B" w:tentative="1">
      <w:start w:val="1"/>
      <w:numFmt w:val="lowerRoman"/>
      <w:lvlText w:val="%6."/>
      <w:lvlJc w:val="right"/>
      <w:pPr>
        <w:ind w:left="4717" w:hanging="180"/>
      </w:pPr>
    </w:lvl>
    <w:lvl w:ilvl="6" w:tplc="080A000F" w:tentative="1">
      <w:start w:val="1"/>
      <w:numFmt w:val="decimal"/>
      <w:lvlText w:val="%7."/>
      <w:lvlJc w:val="left"/>
      <w:pPr>
        <w:ind w:left="5437" w:hanging="360"/>
      </w:pPr>
    </w:lvl>
    <w:lvl w:ilvl="7" w:tplc="080A0019" w:tentative="1">
      <w:start w:val="1"/>
      <w:numFmt w:val="lowerLetter"/>
      <w:lvlText w:val="%8."/>
      <w:lvlJc w:val="left"/>
      <w:pPr>
        <w:ind w:left="6157" w:hanging="360"/>
      </w:pPr>
    </w:lvl>
    <w:lvl w:ilvl="8" w:tplc="080A001B" w:tentative="1">
      <w:start w:val="1"/>
      <w:numFmt w:val="lowerRoman"/>
      <w:lvlText w:val="%9."/>
      <w:lvlJc w:val="right"/>
      <w:pPr>
        <w:ind w:left="6877" w:hanging="180"/>
      </w:pPr>
    </w:lvl>
  </w:abstractNum>
  <w:abstractNum w:abstractNumId="4">
    <w:nsid w:val="37F45B18"/>
    <w:multiLevelType w:val="hybridMultilevel"/>
    <w:tmpl w:val="03B450DA"/>
    <w:lvl w:ilvl="0" w:tplc="080A000F">
      <w:start w:val="1"/>
      <w:numFmt w:val="decimal"/>
      <w:lvlText w:val="%1."/>
      <w:lvlJc w:val="left"/>
      <w:pPr>
        <w:ind w:left="1117" w:hanging="360"/>
      </w:pPr>
    </w:lvl>
    <w:lvl w:ilvl="1" w:tplc="080A0019" w:tentative="1">
      <w:start w:val="1"/>
      <w:numFmt w:val="lowerLetter"/>
      <w:lvlText w:val="%2."/>
      <w:lvlJc w:val="left"/>
      <w:pPr>
        <w:ind w:left="1837" w:hanging="360"/>
      </w:pPr>
    </w:lvl>
    <w:lvl w:ilvl="2" w:tplc="080A001B" w:tentative="1">
      <w:start w:val="1"/>
      <w:numFmt w:val="lowerRoman"/>
      <w:lvlText w:val="%3."/>
      <w:lvlJc w:val="right"/>
      <w:pPr>
        <w:ind w:left="2557" w:hanging="180"/>
      </w:pPr>
    </w:lvl>
    <w:lvl w:ilvl="3" w:tplc="080A000F" w:tentative="1">
      <w:start w:val="1"/>
      <w:numFmt w:val="decimal"/>
      <w:lvlText w:val="%4."/>
      <w:lvlJc w:val="left"/>
      <w:pPr>
        <w:ind w:left="3277" w:hanging="360"/>
      </w:pPr>
    </w:lvl>
    <w:lvl w:ilvl="4" w:tplc="080A0019" w:tentative="1">
      <w:start w:val="1"/>
      <w:numFmt w:val="lowerLetter"/>
      <w:lvlText w:val="%5."/>
      <w:lvlJc w:val="left"/>
      <w:pPr>
        <w:ind w:left="3997" w:hanging="360"/>
      </w:pPr>
    </w:lvl>
    <w:lvl w:ilvl="5" w:tplc="080A001B" w:tentative="1">
      <w:start w:val="1"/>
      <w:numFmt w:val="lowerRoman"/>
      <w:lvlText w:val="%6."/>
      <w:lvlJc w:val="right"/>
      <w:pPr>
        <w:ind w:left="4717" w:hanging="180"/>
      </w:pPr>
    </w:lvl>
    <w:lvl w:ilvl="6" w:tplc="080A000F" w:tentative="1">
      <w:start w:val="1"/>
      <w:numFmt w:val="decimal"/>
      <w:lvlText w:val="%7."/>
      <w:lvlJc w:val="left"/>
      <w:pPr>
        <w:ind w:left="5437" w:hanging="360"/>
      </w:pPr>
    </w:lvl>
    <w:lvl w:ilvl="7" w:tplc="080A0019" w:tentative="1">
      <w:start w:val="1"/>
      <w:numFmt w:val="lowerLetter"/>
      <w:lvlText w:val="%8."/>
      <w:lvlJc w:val="left"/>
      <w:pPr>
        <w:ind w:left="6157" w:hanging="360"/>
      </w:pPr>
    </w:lvl>
    <w:lvl w:ilvl="8" w:tplc="080A001B" w:tentative="1">
      <w:start w:val="1"/>
      <w:numFmt w:val="lowerRoman"/>
      <w:lvlText w:val="%9."/>
      <w:lvlJc w:val="right"/>
      <w:pPr>
        <w:ind w:left="6877" w:hanging="180"/>
      </w:pPr>
    </w:lvl>
  </w:abstractNum>
  <w:abstractNum w:abstractNumId="5">
    <w:nsid w:val="6FB9514D"/>
    <w:multiLevelType w:val="hybridMultilevel"/>
    <w:tmpl w:val="8E107266"/>
    <w:lvl w:ilvl="0" w:tplc="BB36BFBC">
      <w:start w:val="1"/>
      <w:numFmt w:val="bullet"/>
      <w:lvlRestart w:val="0"/>
      <w:lvlText w:val=""/>
      <w:lvlJc w:val="left"/>
      <w:pPr>
        <w:tabs>
          <w:tab w:val="num" w:pos="720"/>
        </w:tabs>
        <w:ind w:left="720" w:hanging="432"/>
      </w:pPr>
      <w:rPr>
        <w:rFonts w:ascii="Symbol" w:hAnsi="Symbol" w:hint="default"/>
      </w:rPr>
    </w:lvl>
    <w:lvl w:ilvl="1" w:tplc="0C0A0003">
      <w:start w:val="1"/>
      <w:numFmt w:val="bullet"/>
      <w:lvlText w:val="o"/>
      <w:lvlJc w:val="left"/>
      <w:pPr>
        <w:tabs>
          <w:tab w:val="num" w:pos="1728"/>
        </w:tabs>
        <w:ind w:left="1728" w:hanging="360"/>
      </w:pPr>
      <w:rPr>
        <w:rFonts w:ascii="Courier New" w:hAnsi="Courier New" w:hint="default"/>
      </w:rPr>
    </w:lvl>
    <w:lvl w:ilvl="2" w:tplc="0C0A0005">
      <w:start w:val="1"/>
      <w:numFmt w:val="bullet"/>
      <w:lvlText w:val=""/>
      <w:lvlJc w:val="left"/>
      <w:pPr>
        <w:tabs>
          <w:tab w:val="num" w:pos="2448"/>
        </w:tabs>
        <w:ind w:left="2448" w:hanging="360"/>
      </w:pPr>
      <w:rPr>
        <w:rFonts w:ascii="Wingdings" w:hAnsi="Wingdings" w:hint="default"/>
      </w:rPr>
    </w:lvl>
    <w:lvl w:ilvl="3" w:tplc="0C0A0001">
      <w:start w:val="1"/>
      <w:numFmt w:val="bullet"/>
      <w:lvlText w:val=""/>
      <w:lvlJc w:val="left"/>
      <w:pPr>
        <w:tabs>
          <w:tab w:val="num" w:pos="3168"/>
        </w:tabs>
        <w:ind w:left="3168" w:hanging="360"/>
      </w:pPr>
      <w:rPr>
        <w:rFonts w:ascii="Symbol" w:hAnsi="Symbol" w:hint="default"/>
      </w:rPr>
    </w:lvl>
    <w:lvl w:ilvl="4" w:tplc="0C0A0003">
      <w:start w:val="1"/>
      <w:numFmt w:val="bullet"/>
      <w:lvlText w:val="o"/>
      <w:lvlJc w:val="left"/>
      <w:pPr>
        <w:tabs>
          <w:tab w:val="num" w:pos="3888"/>
        </w:tabs>
        <w:ind w:left="3888" w:hanging="360"/>
      </w:pPr>
      <w:rPr>
        <w:rFonts w:ascii="Courier New" w:hAnsi="Courier New" w:hint="default"/>
      </w:rPr>
    </w:lvl>
    <w:lvl w:ilvl="5" w:tplc="0C0A0005">
      <w:start w:val="1"/>
      <w:numFmt w:val="bullet"/>
      <w:lvlText w:val=""/>
      <w:lvlJc w:val="left"/>
      <w:pPr>
        <w:tabs>
          <w:tab w:val="num" w:pos="4608"/>
        </w:tabs>
        <w:ind w:left="4608" w:hanging="360"/>
      </w:pPr>
      <w:rPr>
        <w:rFonts w:ascii="Wingdings" w:hAnsi="Wingdings" w:hint="default"/>
      </w:rPr>
    </w:lvl>
    <w:lvl w:ilvl="6" w:tplc="0C0A0001">
      <w:start w:val="1"/>
      <w:numFmt w:val="bullet"/>
      <w:lvlText w:val=""/>
      <w:lvlJc w:val="left"/>
      <w:pPr>
        <w:tabs>
          <w:tab w:val="num" w:pos="5328"/>
        </w:tabs>
        <w:ind w:left="5328" w:hanging="360"/>
      </w:pPr>
      <w:rPr>
        <w:rFonts w:ascii="Symbol" w:hAnsi="Symbol" w:hint="default"/>
      </w:rPr>
    </w:lvl>
    <w:lvl w:ilvl="7" w:tplc="0C0A0003">
      <w:start w:val="1"/>
      <w:numFmt w:val="bullet"/>
      <w:lvlText w:val="o"/>
      <w:lvlJc w:val="left"/>
      <w:pPr>
        <w:tabs>
          <w:tab w:val="num" w:pos="6048"/>
        </w:tabs>
        <w:ind w:left="6048" w:hanging="360"/>
      </w:pPr>
      <w:rPr>
        <w:rFonts w:ascii="Courier New" w:hAnsi="Courier New" w:hint="default"/>
      </w:rPr>
    </w:lvl>
    <w:lvl w:ilvl="8" w:tplc="0C0A0005">
      <w:start w:val="1"/>
      <w:numFmt w:val="bullet"/>
      <w:lvlText w:val=""/>
      <w:lvlJc w:val="left"/>
      <w:pPr>
        <w:tabs>
          <w:tab w:val="num" w:pos="6768"/>
        </w:tabs>
        <w:ind w:left="6768" w:hanging="360"/>
      </w:pPr>
      <w:rPr>
        <w:rFonts w:ascii="Wingdings" w:hAnsi="Wingdings" w:hint="default"/>
      </w:rPr>
    </w:lvl>
  </w:abstractNum>
  <w:num w:numId="1">
    <w:abstractNumId w:val="2"/>
  </w:num>
  <w:num w:numId="2">
    <w:abstractNumId w:val="5"/>
  </w:num>
  <w:num w:numId="3">
    <w:abstractNumId w:val="1"/>
  </w:num>
  <w:num w:numId="4">
    <w:abstractNumId w:val="0"/>
  </w:num>
  <w:num w:numId="5">
    <w:abstractNumId w:val="3"/>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s-MX" w:vendorID="64" w:dllVersion="131078" w:nlCheck="1" w:checkStyle="1"/>
  <w:activeWritingStyle w:appName="MSWord" w:lang="es-ES" w:vendorID="64" w:dllVersion="131078" w:nlCheck="1" w:checkStyle="1"/>
  <w:activeWritingStyle w:appName="MSWord" w:lang="es-ES_tradnl" w:vendorID="64" w:dllVersion="131078" w:nlCheck="1" w:checkStyle="1"/>
  <w:proofState w:spelling="clean" w:grammar="clean"/>
  <w:attachedTemplate r:id="rId1"/>
  <w:stylePaneFormatFilter w:val="3F01"/>
  <w:defaultTabStop w:val="706"/>
  <w:hyphenationZone w:val="425"/>
  <w:evenAndOddHeaders/>
  <w:characterSpacingControl w:val="doNotCompress"/>
  <w:footnotePr>
    <w:footnote w:id="-1"/>
    <w:footnote w:id="0"/>
  </w:footnotePr>
  <w:endnotePr>
    <w:endnote w:id="-1"/>
    <w:endnote w:id="0"/>
  </w:endnotePr>
  <w:compat/>
  <w:rsids>
    <w:rsidRoot w:val="002B1107"/>
    <w:rsid w:val="00045D62"/>
    <w:rsid w:val="0005629F"/>
    <w:rsid w:val="00085CFF"/>
    <w:rsid w:val="000934C4"/>
    <w:rsid w:val="000B42E5"/>
    <w:rsid w:val="000C50D4"/>
    <w:rsid w:val="000F0FA3"/>
    <w:rsid w:val="000F706A"/>
    <w:rsid w:val="00100794"/>
    <w:rsid w:val="00104C31"/>
    <w:rsid w:val="0010703B"/>
    <w:rsid w:val="001303A7"/>
    <w:rsid w:val="00140A5C"/>
    <w:rsid w:val="00155A7E"/>
    <w:rsid w:val="001574EC"/>
    <w:rsid w:val="001642EF"/>
    <w:rsid w:val="00176B02"/>
    <w:rsid w:val="001944A2"/>
    <w:rsid w:val="001A20DA"/>
    <w:rsid w:val="001B409C"/>
    <w:rsid w:val="001B6981"/>
    <w:rsid w:val="001E6CB1"/>
    <w:rsid w:val="001F6325"/>
    <w:rsid w:val="00204921"/>
    <w:rsid w:val="002214D8"/>
    <w:rsid w:val="0025082C"/>
    <w:rsid w:val="00255299"/>
    <w:rsid w:val="002732D0"/>
    <w:rsid w:val="0027532B"/>
    <w:rsid w:val="00285BE5"/>
    <w:rsid w:val="00286668"/>
    <w:rsid w:val="00290296"/>
    <w:rsid w:val="00291CA7"/>
    <w:rsid w:val="002940B6"/>
    <w:rsid w:val="002B00EE"/>
    <w:rsid w:val="002B1107"/>
    <w:rsid w:val="002B127D"/>
    <w:rsid w:val="002B3857"/>
    <w:rsid w:val="002C3644"/>
    <w:rsid w:val="002C66EE"/>
    <w:rsid w:val="002E0094"/>
    <w:rsid w:val="002E58BE"/>
    <w:rsid w:val="002F6279"/>
    <w:rsid w:val="002F666A"/>
    <w:rsid w:val="0030321A"/>
    <w:rsid w:val="00323864"/>
    <w:rsid w:val="0032394E"/>
    <w:rsid w:val="00326B04"/>
    <w:rsid w:val="00330780"/>
    <w:rsid w:val="00330E82"/>
    <w:rsid w:val="003340A4"/>
    <w:rsid w:val="00357A6B"/>
    <w:rsid w:val="0036410B"/>
    <w:rsid w:val="003656C6"/>
    <w:rsid w:val="00373DFE"/>
    <w:rsid w:val="0039202C"/>
    <w:rsid w:val="003C0F9D"/>
    <w:rsid w:val="003C5EB9"/>
    <w:rsid w:val="003E5783"/>
    <w:rsid w:val="003E7472"/>
    <w:rsid w:val="003F3C25"/>
    <w:rsid w:val="003F4985"/>
    <w:rsid w:val="004061BE"/>
    <w:rsid w:val="004108D0"/>
    <w:rsid w:val="00410B8C"/>
    <w:rsid w:val="00412ED6"/>
    <w:rsid w:val="004142D5"/>
    <w:rsid w:val="0042779F"/>
    <w:rsid w:val="00427DCC"/>
    <w:rsid w:val="004352A9"/>
    <w:rsid w:val="00440349"/>
    <w:rsid w:val="00464085"/>
    <w:rsid w:val="004652D9"/>
    <w:rsid w:val="00465E99"/>
    <w:rsid w:val="00470F00"/>
    <w:rsid w:val="004A7426"/>
    <w:rsid w:val="004B2F2C"/>
    <w:rsid w:val="004B7CB7"/>
    <w:rsid w:val="004C49C6"/>
    <w:rsid w:val="004C769F"/>
    <w:rsid w:val="004D4A72"/>
    <w:rsid w:val="004E6B1F"/>
    <w:rsid w:val="004E77FB"/>
    <w:rsid w:val="004F3FE9"/>
    <w:rsid w:val="00512CDB"/>
    <w:rsid w:val="00514993"/>
    <w:rsid w:val="005158F6"/>
    <w:rsid w:val="00517BF0"/>
    <w:rsid w:val="005228E3"/>
    <w:rsid w:val="00534337"/>
    <w:rsid w:val="0053581A"/>
    <w:rsid w:val="00535845"/>
    <w:rsid w:val="005438AB"/>
    <w:rsid w:val="0054733E"/>
    <w:rsid w:val="0055349C"/>
    <w:rsid w:val="005614C5"/>
    <w:rsid w:val="005C4019"/>
    <w:rsid w:val="005C75DE"/>
    <w:rsid w:val="005D7D14"/>
    <w:rsid w:val="00610299"/>
    <w:rsid w:val="006231E1"/>
    <w:rsid w:val="00627360"/>
    <w:rsid w:val="00627D1A"/>
    <w:rsid w:val="0063495E"/>
    <w:rsid w:val="00634C63"/>
    <w:rsid w:val="00656CFF"/>
    <w:rsid w:val="006711A8"/>
    <w:rsid w:val="00674139"/>
    <w:rsid w:val="00681BC5"/>
    <w:rsid w:val="00691836"/>
    <w:rsid w:val="0069357B"/>
    <w:rsid w:val="00695901"/>
    <w:rsid w:val="00697B7C"/>
    <w:rsid w:val="006B7539"/>
    <w:rsid w:val="006D2074"/>
    <w:rsid w:val="006D2E40"/>
    <w:rsid w:val="006E2487"/>
    <w:rsid w:val="006E4EE3"/>
    <w:rsid w:val="006E66EC"/>
    <w:rsid w:val="006E7B86"/>
    <w:rsid w:val="0070415B"/>
    <w:rsid w:val="00711BBE"/>
    <w:rsid w:val="00717A6D"/>
    <w:rsid w:val="00724703"/>
    <w:rsid w:val="00727260"/>
    <w:rsid w:val="00735E9D"/>
    <w:rsid w:val="00741ABD"/>
    <w:rsid w:val="00746FC8"/>
    <w:rsid w:val="007578BE"/>
    <w:rsid w:val="00781DE3"/>
    <w:rsid w:val="0079567A"/>
    <w:rsid w:val="00797AB4"/>
    <w:rsid w:val="007A0956"/>
    <w:rsid w:val="007C1352"/>
    <w:rsid w:val="007D00B8"/>
    <w:rsid w:val="007D286A"/>
    <w:rsid w:val="007D4C4F"/>
    <w:rsid w:val="00822721"/>
    <w:rsid w:val="00827CE1"/>
    <w:rsid w:val="0083080F"/>
    <w:rsid w:val="008371DC"/>
    <w:rsid w:val="008651ED"/>
    <w:rsid w:val="00875A59"/>
    <w:rsid w:val="00876C7C"/>
    <w:rsid w:val="0089558E"/>
    <w:rsid w:val="008A23F3"/>
    <w:rsid w:val="008B5BD2"/>
    <w:rsid w:val="008D17A5"/>
    <w:rsid w:val="008E35DF"/>
    <w:rsid w:val="008F2B8A"/>
    <w:rsid w:val="008F7A18"/>
    <w:rsid w:val="00913D77"/>
    <w:rsid w:val="00915467"/>
    <w:rsid w:val="009167A0"/>
    <w:rsid w:val="009200A2"/>
    <w:rsid w:val="00920E53"/>
    <w:rsid w:val="009302F0"/>
    <w:rsid w:val="009329FB"/>
    <w:rsid w:val="00937C80"/>
    <w:rsid w:val="00945F33"/>
    <w:rsid w:val="00950369"/>
    <w:rsid w:val="009514B2"/>
    <w:rsid w:val="009648A6"/>
    <w:rsid w:val="009932CA"/>
    <w:rsid w:val="009A1B40"/>
    <w:rsid w:val="009A7654"/>
    <w:rsid w:val="009C02DA"/>
    <w:rsid w:val="009E1AC6"/>
    <w:rsid w:val="009E3B35"/>
    <w:rsid w:val="009E63EA"/>
    <w:rsid w:val="009F050F"/>
    <w:rsid w:val="009F2409"/>
    <w:rsid w:val="00A01A51"/>
    <w:rsid w:val="00A211EE"/>
    <w:rsid w:val="00A31E9B"/>
    <w:rsid w:val="00A333DC"/>
    <w:rsid w:val="00A4744B"/>
    <w:rsid w:val="00A53D31"/>
    <w:rsid w:val="00A61300"/>
    <w:rsid w:val="00A73F8A"/>
    <w:rsid w:val="00A76032"/>
    <w:rsid w:val="00A8099D"/>
    <w:rsid w:val="00A81D62"/>
    <w:rsid w:val="00A84922"/>
    <w:rsid w:val="00A85EC2"/>
    <w:rsid w:val="00AD0BC7"/>
    <w:rsid w:val="00AD54E0"/>
    <w:rsid w:val="00AD6E55"/>
    <w:rsid w:val="00AE786C"/>
    <w:rsid w:val="00AF2F88"/>
    <w:rsid w:val="00B00632"/>
    <w:rsid w:val="00B049E3"/>
    <w:rsid w:val="00B14C29"/>
    <w:rsid w:val="00B170E8"/>
    <w:rsid w:val="00B3769E"/>
    <w:rsid w:val="00B46F51"/>
    <w:rsid w:val="00B63531"/>
    <w:rsid w:val="00B7008A"/>
    <w:rsid w:val="00B717B3"/>
    <w:rsid w:val="00B85525"/>
    <w:rsid w:val="00B92B1F"/>
    <w:rsid w:val="00BC1453"/>
    <w:rsid w:val="00BF091C"/>
    <w:rsid w:val="00C01B5D"/>
    <w:rsid w:val="00C258E4"/>
    <w:rsid w:val="00C50EFE"/>
    <w:rsid w:val="00C615F1"/>
    <w:rsid w:val="00C81C26"/>
    <w:rsid w:val="00C9060E"/>
    <w:rsid w:val="00C92A4F"/>
    <w:rsid w:val="00C96371"/>
    <w:rsid w:val="00C96FD6"/>
    <w:rsid w:val="00CA2FDC"/>
    <w:rsid w:val="00CA3BBA"/>
    <w:rsid w:val="00CA7352"/>
    <w:rsid w:val="00CC0602"/>
    <w:rsid w:val="00CC39A6"/>
    <w:rsid w:val="00CC71C5"/>
    <w:rsid w:val="00CD6850"/>
    <w:rsid w:val="00CD6CD3"/>
    <w:rsid w:val="00CE71AC"/>
    <w:rsid w:val="00CF24C4"/>
    <w:rsid w:val="00CF3026"/>
    <w:rsid w:val="00CF6193"/>
    <w:rsid w:val="00D046E9"/>
    <w:rsid w:val="00D04785"/>
    <w:rsid w:val="00D32C7D"/>
    <w:rsid w:val="00D34588"/>
    <w:rsid w:val="00D42FD2"/>
    <w:rsid w:val="00D54C2F"/>
    <w:rsid w:val="00D60467"/>
    <w:rsid w:val="00D64953"/>
    <w:rsid w:val="00D87572"/>
    <w:rsid w:val="00D87A00"/>
    <w:rsid w:val="00DE4C7A"/>
    <w:rsid w:val="00DF6036"/>
    <w:rsid w:val="00DF6BC3"/>
    <w:rsid w:val="00E21F6A"/>
    <w:rsid w:val="00E30B22"/>
    <w:rsid w:val="00E3798A"/>
    <w:rsid w:val="00E4145F"/>
    <w:rsid w:val="00E460F3"/>
    <w:rsid w:val="00E50177"/>
    <w:rsid w:val="00E5027B"/>
    <w:rsid w:val="00E5626A"/>
    <w:rsid w:val="00E57D61"/>
    <w:rsid w:val="00E772E5"/>
    <w:rsid w:val="00E77E64"/>
    <w:rsid w:val="00E82585"/>
    <w:rsid w:val="00EA0ABD"/>
    <w:rsid w:val="00EA46E7"/>
    <w:rsid w:val="00EB3C2A"/>
    <w:rsid w:val="00EE6353"/>
    <w:rsid w:val="00EF1962"/>
    <w:rsid w:val="00EF226B"/>
    <w:rsid w:val="00F00937"/>
    <w:rsid w:val="00F179D7"/>
    <w:rsid w:val="00F22399"/>
    <w:rsid w:val="00F315C9"/>
    <w:rsid w:val="00F378BD"/>
    <w:rsid w:val="00F42E31"/>
    <w:rsid w:val="00F51E5E"/>
    <w:rsid w:val="00F5601C"/>
    <w:rsid w:val="00F64B32"/>
    <w:rsid w:val="00F70C4B"/>
    <w:rsid w:val="00F808C0"/>
    <w:rsid w:val="00F83712"/>
    <w:rsid w:val="00F85CA3"/>
    <w:rsid w:val="00FA1173"/>
    <w:rsid w:val="00FA672D"/>
    <w:rsid w:val="00FC03A2"/>
    <w:rsid w:val="00FC5DD1"/>
    <w:rsid w:val="00FD0D2C"/>
    <w:rsid w:val="00FD1A0B"/>
    <w:rsid w:val="00FD44E8"/>
    <w:rsid w:val="00FD7200"/>
    <w:rsid w:val="00FE5F30"/>
    <w:rsid w:val="00FE6ABD"/>
    <w:rsid w:val="00FF661C"/>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s-MX"/>
    </w:rPr>
  </w:style>
  <w:style w:type="paragraph" w:styleId="Ttulo1">
    <w:name w:val="heading 1"/>
    <w:basedOn w:val="Normal"/>
    <w:next w:val="Normal"/>
    <w:qFormat/>
    <w:rsid w:val="00B170E8"/>
    <w:pPr>
      <w:pBdr>
        <w:bottom w:val="single" w:sz="12" w:space="1" w:color="auto"/>
        <w:between w:val="single" w:sz="12" w:space="1" w:color="auto"/>
      </w:pBdr>
      <w:spacing w:before="120"/>
      <w:jc w:val="both"/>
      <w:outlineLvl w:val="0"/>
    </w:pPr>
    <w:rPr>
      <w:rFonts w:cs="CG Palacio (WN)"/>
      <w:b/>
      <w:sz w:val="18"/>
    </w:rPr>
  </w:style>
  <w:style w:type="paragraph" w:styleId="Ttulo2">
    <w:name w:val="heading 2"/>
    <w:basedOn w:val="Normal"/>
    <w:next w:val="Normal"/>
    <w:qFormat/>
    <w:rsid w:val="0089558E"/>
    <w:pPr>
      <w:pBdr>
        <w:top w:val="double" w:sz="6" w:space="1" w:color="auto"/>
        <w:between w:val="double" w:sz="6" w:space="1" w:color="auto"/>
      </w:pBdr>
      <w:spacing w:after="101" w:line="216" w:lineRule="atLeast"/>
      <w:jc w:val="both"/>
      <w:outlineLvl w:val="1"/>
    </w:pPr>
    <w:rPr>
      <w:rFonts w:ascii="Arial" w:hAnsi="Arial" w:cs="Helv"/>
      <w:sz w:val="18"/>
      <w:szCs w:val="20"/>
      <w:lang w:val="es-ES_tradnl" w:eastAsia="es-MX"/>
    </w:rPr>
  </w:style>
  <w:style w:type="paragraph" w:styleId="Ttulo3">
    <w:name w:val="heading 3"/>
    <w:basedOn w:val="Normal"/>
    <w:next w:val="Normal"/>
    <w:link w:val="Ttulo3Car"/>
    <w:qFormat/>
    <w:rsid w:val="002B1107"/>
    <w:pPr>
      <w:keepNext/>
      <w:spacing w:before="240" w:after="60"/>
      <w:outlineLvl w:val="2"/>
    </w:pPr>
    <w:rPr>
      <w:rFonts w:ascii="Cambria" w:hAnsi="Cambria" w:cs="Cambria"/>
      <w:b/>
      <w:sz w:val="26"/>
      <w:szCs w:val="20"/>
      <w:lang w:val="es-ES" w:eastAsia="es-MX"/>
    </w:rPr>
  </w:style>
  <w:style w:type="paragraph" w:styleId="Ttulo4">
    <w:name w:val="heading 4"/>
    <w:basedOn w:val="Normal"/>
    <w:next w:val="Normal"/>
    <w:link w:val="Ttulo4Car"/>
    <w:qFormat/>
    <w:rsid w:val="002B1107"/>
    <w:pPr>
      <w:keepNext/>
      <w:tabs>
        <w:tab w:val="left" w:pos="974"/>
        <w:tab w:val="left" w:pos="1021"/>
        <w:tab w:val="left" w:pos="1134"/>
        <w:tab w:val="left" w:pos="1560"/>
      </w:tabs>
      <w:spacing w:before="240" w:after="60"/>
      <w:ind w:left="974" w:hanging="864"/>
      <w:jc w:val="both"/>
      <w:outlineLvl w:val="3"/>
    </w:pPr>
    <w:rPr>
      <w:rFonts w:ascii="Arial" w:hAnsi="Arial" w:cs="Arial"/>
      <w:b/>
      <w:sz w:val="28"/>
      <w:szCs w:val="20"/>
      <w:lang w:val="es-ES" w:eastAsia="es-MX"/>
    </w:rPr>
  </w:style>
  <w:style w:type="paragraph" w:styleId="Ttulo5">
    <w:name w:val="heading 5"/>
    <w:basedOn w:val="Normal"/>
    <w:next w:val="Normal"/>
    <w:link w:val="Ttulo5Car"/>
    <w:qFormat/>
    <w:rsid w:val="002B1107"/>
    <w:pPr>
      <w:tabs>
        <w:tab w:val="left" w:pos="1008"/>
      </w:tabs>
      <w:spacing w:before="240" w:after="60"/>
      <w:ind w:left="1008" w:hanging="1008"/>
      <w:jc w:val="both"/>
      <w:outlineLvl w:val="4"/>
    </w:pPr>
    <w:rPr>
      <w:rFonts w:ascii="Calibri" w:hAnsi="Calibri" w:cs="Calibri"/>
      <w:b/>
      <w:i/>
      <w:sz w:val="26"/>
      <w:szCs w:val="20"/>
      <w:lang w:val="es-ES" w:eastAsia="es-MX"/>
    </w:rPr>
  </w:style>
  <w:style w:type="paragraph" w:styleId="Ttulo6">
    <w:name w:val="heading 6"/>
    <w:basedOn w:val="Normal"/>
    <w:next w:val="Normal"/>
    <w:link w:val="Ttulo6Car"/>
    <w:qFormat/>
    <w:rsid w:val="002B1107"/>
    <w:pPr>
      <w:tabs>
        <w:tab w:val="left" w:pos="1152"/>
      </w:tabs>
      <w:spacing w:before="240" w:after="60"/>
      <w:ind w:left="1152" w:hanging="1152"/>
      <w:outlineLvl w:val="5"/>
    </w:pPr>
    <w:rPr>
      <w:rFonts w:ascii="Calibri" w:hAnsi="Calibri" w:cs="Calibri"/>
      <w:b/>
      <w:sz w:val="20"/>
      <w:szCs w:val="20"/>
      <w:lang w:val="es-ES" w:eastAsia="es-MX"/>
    </w:rPr>
  </w:style>
  <w:style w:type="paragraph" w:styleId="Ttulo7">
    <w:name w:val="heading 7"/>
    <w:basedOn w:val="Normal"/>
    <w:next w:val="Normal"/>
    <w:link w:val="Ttulo7Car"/>
    <w:qFormat/>
    <w:rsid w:val="002B1107"/>
    <w:pPr>
      <w:tabs>
        <w:tab w:val="left" w:pos="1296"/>
      </w:tabs>
      <w:spacing w:before="240" w:after="60"/>
      <w:ind w:left="1296" w:hanging="1296"/>
      <w:outlineLvl w:val="6"/>
    </w:pPr>
    <w:rPr>
      <w:rFonts w:ascii="Calibri" w:hAnsi="Calibri" w:cs="Calibri"/>
      <w:szCs w:val="20"/>
      <w:lang w:val="es-ES" w:eastAsia="es-MX"/>
    </w:rPr>
  </w:style>
  <w:style w:type="paragraph" w:styleId="Ttulo8">
    <w:name w:val="heading 8"/>
    <w:basedOn w:val="Normal"/>
    <w:next w:val="Normal"/>
    <w:link w:val="Ttulo8Car"/>
    <w:qFormat/>
    <w:rsid w:val="002B1107"/>
    <w:pPr>
      <w:tabs>
        <w:tab w:val="left" w:pos="1440"/>
      </w:tabs>
      <w:spacing w:before="240" w:after="60"/>
      <w:ind w:left="1440" w:hanging="1440"/>
      <w:outlineLvl w:val="7"/>
    </w:pPr>
    <w:rPr>
      <w:rFonts w:ascii="Calibri" w:hAnsi="Calibri" w:cs="Calibri"/>
      <w:i/>
      <w:szCs w:val="20"/>
      <w:lang w:val="es-ES" w:eastAsia="es-MX"/>
    </w:rPr>
  </w:style>
  <w:style w:type="paragraph" w:styleId="Ttulo9">
    <w:name w:val="heading 9"/>
    <w:basedOn w:val="Normal"/>
    <w:next w:val="Normal"/>
    <w:link w:val="Ttulo9Car"/>
    <w:qFormat/>
    <w:rsid w:val="002B1107"/>
    <w:pPr>
      <w:tabs>
        <w:tab w:val="left" w:pos="1584"/>
      </w:tabs>
      <w:spacing w:before="240" w:after="60"/>
      <w:ind w:left="1584" w:hanging="1584"/>
      <w:outlineLvl w:val="8"/>
    </w:pPr>
    <w:rPr>
      <w:rFonts w:ascii="Cambria" w:hAnsi="Cambria" w:cs="Cambria"/>
      <w:sz w:val="20"/>
      <w:szCs w:val="20"/>
      <w:lang w:val="es-ES" w:eastAsia="es-MX"/>
    </w:rPr>
  </w:style>
  <w:style w:type="character" w:default="1" w:styleId="Fuentedeprrafopredeter">
    <w:name w:val="Default Paragraph Font"/>
    <w:semiHidden/>
  </w:style>
  <w:style w:type="table" w:default="1" w:styleId="Tablanormal">
    <w:name w:val="Normal Table"/>
    <w:semiHidden/>
    <w:tblPr>
      <w:tblInd w:w="0" w:type="dxa"/>
      <w:tblCellMar>
        <w:top w:w="0" w:type="dxa"/>
        <w:left w:w="108" w:type="dxa"/>
        <w:bottom w:w="0" w:type="dxa"/>
        <w:right w:w="108" w:type="dxa"/>
      </w:tblCellMar>
    </w:tblPr>
  </w:style>
  <w:style w:type="numbering" w:default="1" w:styleId="Sinlista">
    <w:name w:val="No List"/>
    <w:uiPriority w:val="99"/>
    <w:semiHidden/>
  </w:style>
  <w:style w:type="paragraph" w:customStyle="1" w:styleId="Texto">
    <w:name w:val="Texto"/>
    <w:basedOn w:val="Normal"/>
    <w:link w:val="TextoCar"/>
    <w:rsid w:val="00A333DC"/>
    <w:pPr>
      <w:spacing w:after="101" w:line="216" w:lineRule="exact"/>
      <w:ind w:firstLine="288"/>
      <w:jc w:val="both"/>
    </w:pPr>
    <w:rPr>
      <w:rFonts w:ascii="Arial" w:hAnsi="Arial" w:cs="Arial"/>
      <w:sz w:val="18"/>
      <w:szCs w:val="20"/>
    </w:rPr>
  </w:style>
  <w:style w:type="paragraph" w:customStyle="1" w:styleId="CABEZA">
    <w:name w:val="CABEZA"/>
    <w:basedOn w:val="Normal"/>
    <w:rsid w:val="00514993"/>
    <w:pPr>
      <w:jc w:val="center"/>
    </w:pPr>
    <w:rPr>
      <w:rFonts w:cs="Arial"/>
      <w:b/>
      <w:sz w:val="28"/>
      <w:szCs w:val="28"/>
      <w:lang w:val="es-ES_tradnl" w:eastAsia="es-MX"/>
    </w:rPr>
  </w:style>
  <w:style w:type="paragraph" w:customStyle="1" w:styleId="ROMANOS">
    <w:name w:val="ROMANOS"/>
    <w:basedOn w:val="Normal"/>
    <w:link w:val="ROMANOSCar"/>
    <w:rsid w:val="00F51E5E"/>
    <w:pPr>
      <w:tabs>
        <w:tab w:val="left" w:pos="720"/>
      </w:tabs>
      <w:spacing w:after="101" w:line="216" w:lineRule="exact"/>
      <w:ind w:left="720" w:hanging="432"/>
      <w:jc w:val="both"/>
    </w:pPr>
    <w:rPr>
      <w:rFonts w:ascii="Arial" w:hAnsi="Arial" w:cs="Arial"/>
      <w:sz w:val="18"/>
      <w:szCs w:val="18"/>
    </w:rPr>
  </w:style>
  <w:style w:type="paragraph" w:customStyle="1" w:styleId="INCISO">
    <w:name w:val="INCISO"/>
    <w:basedOn w:val="Normal"/>
    <w:rsid w:val="00255299"/>
    <w:pPr>
      <w:spacing w:after="101" w:line="216" w:lineRule="exact"/>
      <w:ind w:left="1080" w:hanging="360"/>
      <w:jc w:val="both"/>
    </w:pPr>
    <w:rPr>
      <w:rFonts w:ascii="Arial" w:hAnsi="Arial" w:cs="Arial"/>
      <w:sz w:val="18"/>
      <w:szCs w:val="18"/>
    </w:rPr>
  </w:style>
  <w:style w:type="paragraph" w:customStyle="1" w:styleId="Fechas">
    <w:name w:val="Fechas"/>
    <w:basedOn w:val="Texto"/>
    <w:autoRedefine/>
    <w:rsid w:val="00B14C29"/>
    <w:pPr>
      <w:widowControl w:val="0"/>
      <w:pBdr>
        <w:bottom w:val="double" w:sz="6" w:space="1" w:color="auto"/>
      </w:pBdr>
      <w:tabs>
        <w:tab w:val="center" w:pos="4464"/>
        <w:tab w:val="right" w:pos="8582"/>
      </w:tabs>
      <w:spacing w:after="0" w:line="240" w:lineRule="auto"/>
      <w:ind w:left="288" w:right="288" w:firstLine="0"/>
    </w:pPr>
    <w:rPr>
      <w:rFonts w:ascii="Times New Roman" w:hAnsi="Times New Roman"/>
      <w:snapToGrid w:val="0"/>
      <w:lang w:eastAsia="es-MX"/>
    </w:rPr>
  </w:style>
  <w:style w:type="paragraph" w:customStyle="1" w:styleId="ANOTACION">
    <w:name w:val="ANOTACION"/>
    <w:basedOn w:val="Normal"/>
    <w:link w:val="ANOTACIONCar"/>
    <w:rsid w:val="009C02DA"/>
    <w:pPr>
      <w:spacing w:before="101" w:after="101" w:line="216" w:lineRule="atLeast"/>
      <w:jc w:val="center"/>
    </w:pPr>
    <w:rPr>
      <w:b/>
      <w:sz w:val="18"/>
      <w:szCs w:val="20"/>
      <w:lang w:val="es-ES_tradnl"/>
    </w:rPr>
  </w:style>
  <w:style w:type="paragraph" w:customStyle="1" w:styleId="SUBIN">
    <w:name w:val="SUBIN"/>
    <w:basedOn w:val="Texto"/>
    <w:rsid w:val="00535845"/>
    <w:pPr>
      <w:ind w:left="1987" w:hanging="720"/>
    </w:pPr>
  </w:style>
  <w:style w:type="paragraph" w:customStyle="1" w:styleId="Titulo1">
    <w:name w:val="Titulo 1"/>
    <w:basedOn w:val="Texto"/>
    <w:rsid w:val="00875A59"/>
    <w:pPr>
      <w:pBdr>
        <w:bottom w:val="single" w:sz="12" w:space="1" w:color="auto"/>
      </w:pBdr>
      <w:spacing w:before="120" w:after="0" w:line="240" w:lineRule="auto"/>
      <w:ind w:firstLine="0"/>
      <w:outlineLvl w:val="0"/>
    </w:pPr>
    <w:rPr>
      <w:rFonts w:ascii="Times New Roman" w:hAnsi="Times New Roman"/>
      <w:b/>
      <w:szCs w:val="18"/>
      <w:lang w:eastAsia="es-MX"/>
    </w:rPr>
  </w:style>
  <w:style w:type="paragraph" w:customStyle="1" w:styleId="Titulo2">
    <w:name w:val="Titulo 2"/>
    <w:basedOn w:val="Texto"/>
    <w:rsid w:val="00FE5F30"/>
    <w:pPr>
      <w:pBdr>
        <w:top w:val="double" w:sz="6" w:space="1" w:color="auto"/>
      </w:pBdr>
      <w:spacing w:line="240" w:lineRule="auto"/>
      <w:ind w:firstLine="0"/>
      <w:outlineLvl w:val="1"/>
    </w:pPr>
  </w:style>
  <w:style w:type="paragraph" w:customStyle="1" w:styleId="tt">
    <w:name w:val="tt"/>
    <w:basedOn w:val="Texto"/>
    <w:rsid w:val="00F64B32"/>
    <w:pPr>
      <w:tabs>
        <w:tab w:val="left" w:pos="1320"/>
        <w:tab w:val="left" w:pos="1629"/>
      </w:tabs>
      <w:ind w:left="1647" w:hanging="1440"/>
    </w:pPr>
    <w:rPr>
      <w:lang w:val="es-ES_tradnl"/>
    </w:rPr>
  </w:style>
  <w:style w:type="paragraph" w:customStyle="1" w:styleId="sum">
    <w:name w:val="sum"/>
    <w:basedOn w:val="Texto"/>
    <w:rsid w:val="007578BE"/>
    <w:pPr>
      <w:tabs>
        <w:tab w:val="right" w:leader="dot" w:pos="8100"/>
        <w:tab w:val="right" w:pos="8640"/>
      </w:tabs>
      <w:spacing w:after="0" w:line="266" w:lineRule="exact"/>
      <w:ind w:left="274" w:right="749" w:firstLine="0"/>
    </w:pPr>
    <w:rPr>
      <w:rFonts w:ascii="Times New Roman" w:hAnsi="Times New Roman"/>
      <w:b/>
      <w:sz w:val="20"/>
      <w:u w:val="single"/>
      <w:lang w:val="es-ES_tradnl"/>
    </w:rPr>
  </w:style>
  <w:style w:type="paragraph" w:styleId="Encabezado">
    <w:name w:val="header"/>
    <w:basedOn w:val="Normal"/>
    <w:link w:val="EncabezadoCar"/>
    <w:uiPriority w:val="99"/>
    <w:rsid w:val="00140A5C"/>
    <w:pPr>
      <w:tabs>
        <w:tab w:val="center" w:pos="4419"/>
        <w:tab w:val="right" w:pos="8838"/>
      </w:tabs>
    </w:pPr>
  </w:style>
  <w:style w:type="paragraph" w:customStyle="1" w:styleId="EstilotextoPrimeralnea0">
    <w:name w:val="Estilo texto + Primera línea:  0&quot;"/>
    <w:basedOn w:val="Normal"/>
    <w:rsid w:val="0054733E"/>
    <w:pPr>
      <w:spacing w:after="101" w:line="216" w:lineRule="exact"/>
      <w:jc w:val="both"/>
    </w:pPr>
    <w:rPr>
      <w:rFonts w:ascii="Arial" w:hAnsi="Arial"/>
      <w:sz w:val="18"/>
      <w:szCs w:val="20"/>
      <w:lang w:eastAsia="es-MX"/>
    </w:rPr>
  </w:style>
  <w:style w:type="character" w:customStyle="1" w:styleId="TextoCar">
    <w:name w:val="Texto Car"/>
    <w:link w:val="Texto"/>
    <w:locked/>
    <w:rsid w:val="003E5783"/>
    <w:rPr>
      <w:rFonts w:ascii="Arial" w:hAnsi="Arial" w:cs="Arial"/>
      <w:sz w:val="18"/>
      <w:lang w:val="es-ES" w:eastAsia="es-ES" w:bidi="ar-SA"/>
    </w:rPr>
  </w:style>
  <w:style w:type="character" w:customStyle="1" w:styleId="ROMANOSCar">
    <w:name w:val="ROMANOS Car"/>
    <w:link w:val="ROMANOS"/>
    <w:locked/>
    <w:rsid w:val="003E5783"/>
    <w:rPr>
      <w:rFonts w:ascii="Arial" w:hAnsi="Arial" w:cs="Arial"/>
      <w:sz w:val="18"/>
      <w:szCs w:val="18"/>
      <w:lang w:val="es-ES" w:eastAsia="es-ES" w:bidi="ar-SA"/>
    </w:rPr>
  </w:style>
  <w:style w:type="character" w:customStyle="1" w:styleId="ANOTACIONCar">
    <w:name w:val="ANOTACION Car"/>
    <w:link w:val="ANOTACION"/>
    <w:locked/>
    <w:rsid w:val="003E5783"/>
    <w:rPr>
      <w:b/>
      <w:sz w:val="18"/>
      <w:lang w:val="es-ES_tradnl" w:eastAsia="es-ES" w:bidi="ar-SA"/>
    </w:rPr>
  </w:style>
  <w:style w:type="paragraph" w:styleId="Piedepgina">
    <w:name w:val="footer"/>
    <w:basedOn w:val="Normal"/>
    <w:rsid w:val="00140A5C"/>
    <w:pPr>
      <w:tabs>
        <w:tab w:val="center" w:pos="4419"/>
        <w:tab w:val="right" w:pos="8838"/>
      </w:tabs>
    </w:pPr>
  </w:style>
  <w:style w:type="character" w:styleId="Nmerodepgina">
    <w:name w:val="page number"/>
    <w:basedOn w:val="Fuentedeprrafopredeter"/>
    <w:rsid w:val="00140A5C"/>
  </w:style>
  <w:style w:type="paragraph" w:styleId="Prrafodelista">
    <w:name w:val="List Paragraph"/>
    <w:basedOn w:val="Normal"/>
    <w:qFormat/>
    <w:rsid w:val="002B1107"/>
    <w:pPr>
      <w:spacing w:after="200" w:line="276" w:lineRule="atLeast"/>
      <w:ind w:left="720"/>
    </w:pPr>
    <w:rPr>
      <w:rFonts w:ascii="Calibri" w:hAnsi="Calibri" w:cs="Calibri"/>
      <w:sz w:val="22"/>
      <w:szCs w:val="20"/>
      <w:lang w:eastAsia="es-MX"/>
    </w:rPr>
  </w:style>
  <w:style w:type="character" w:customStyle="1" w:styleId="Ttulo3Car">
    <w:name w:val="Título 3 Car"/>
    <w:link w:val="Ttulo3"/>
    <w:rsid w:val="002B1107"/>
    <w:rPr>
      <w:rFonts w:ascii="Cambria" w:hAnsi="Cambria" w:cs="Cambria"/>
      <w:b/>
      <w:sz w:val="26"/>
      <w:lang w:val="es-ES"/>
    </w:rPr>
  </w:style>
  <w:style w:type="character" w:customStyle="1" w:styleId="Ttulo4Car">
    <w:name w:val="Título 4 Car"/>
    <w:link w:val="Ttulo4"/>
    <w:rsid w:val="002B1107"/>
    <w:rPr>
      <w:rFonts w:ascii="Arial" w:hAnsi="Arial" w:cs="Arial"/>
      <w:b/>
      <w:sz w:val="28"/>
      <w:lang w:val="es-ES"/>
    </w:rPr>
  </w:style>
  <w:style w:type="character" w:customStyle="1" w:styleId="Ttulo5Car">
    <w:name w:val="Título 5 Car"/>
    <w:link w:val="Ttulo5"/>
    <w:rsid w:val="002B1107"/>
    <w:rPr>
      <w:rFonts w:ascii="Calibri" w:hAnsi="Calibri" w:cs="Calibri"/>
      <w:b/>
      <w:i/>
      <w:sz w:val="26"/>
      <w:lang w:val="es-ES"/>
    </w:rPr>
  </w:style>
  <w:style w:type="character" w:customStyle="1" w:styleId="Ttulo6Car">
    <w:name w:val="Título 6 Car"/>
    <w:link w:val="Ttulo6"/>
    <w:rsid w:val="002B1107"/>
    <w:rPr>
      <w:rFonts w:ascii="Calibri" w:hAnsi="Calibri" w:cs="Calibri"/>
      <w:b/>
      <w:lang w:val="es-ES"/>
    </w:rPr>
  </w:style>
  <w:style w:type="character" w:customStyle="1" w:styleId="Ttulo7Car">
    <w:name w:val="Título 7 Car"/>
    <w:link w:val="Ttulo7"/>
    <w:rsid w:val="002B1107"/>
    <w:rPr>
      <w:rFonts w:ascii="Calibri" w:hAnsi="Calibri" w:cs="Calibri"/>
      <w:sz w:val="24"/>
      <w:lang w:val="es-ES"/>
    </w:rPr>
  </w:style>
  <w:style w:type="character" w:customStyle="1" w:styleId="Ttulo8Car">
    <w:name w:val="Título 8 Car"/>
    <w:link w:val="Ttulo8"/>
    <w:rsid w:val="002B1107"/>
    <w:rPr>
      <w:rFonts w:ascii="Calibri" w:hAnsi="Calibri" w:cs="Calibri"/>
      <w:i/>
      <w:sz w:val="24"/>
      <w:lang w:val="es-ES"/>
    </w:rPr>
  </w:style>
  <w:style w:type="character" w:customStyle="1" w:styleId="Ttulo9Car">
    <w:name w:val="Título 9 Car"/>
    <w:link w:val="Ttulo9"/>
    <w:rsid w:val="002B1107"/>
    <w:rPr>
      <w:rFonts w:ascii="Cambria" w:hAnsi="Cambria" w:cs="Cambria"/>
      <w:lang w:val="es-ES"/>
    </w:rPr>
  </w:style>
  <w:style w:type="paragraph" w:styleId="Textocomentario">
    <w:name w:val="annotation text"/>
    <w:basedOn w:val="Normal"/>
    <w:link w:val="TextocomentarioCar"/>
    <w:rsid w:val="002B1107"/>
    <w:rPr>
      <w:rFonts w:ascii="Verdana" w:hAnsi="Verdana" w:cs="Verdana"/>
      <w:sz w:val="20"/>
      <w:szCs w:val="20"/>
      <w:lang w:val="es-ES" w:eastAsia="es-MX"/>
    </w:rPr>
  </w:style>
  <w:style w:type="character" w:customStyle="1" w:styleId="TextocomentarioCar">
    <w:name w:val="Texto comentario Car"/>
    <w:link w:val="Textocomentario"/>
    <w:rsid w:val="002B1107"/>
    <w:rPr>
      <w:rFonts w:ascii="Verdana" w:hAnsi="Verdana" w:cs="Verdana"/>
      <w:lang w:val="es-ES"/>
    </w:rPr>
  </w:style>
  <w:style w:type="paragraph" w:styleId="Textonotapie">
    <w:name w:val="footnote text"/>
    <w:basedOn w:val="Normal"/>
    <w:link w:val="TextonotapieCar"/>
    <w:rsid w:val="002B1107"/>
    <w:pPr>
      <w:spacing w:before="360" w:after="200"/>
    </w:pPr>
    <w:rPr>
      <w:rFonts w:ascii="Calibri" w:hAnsi="Calibri" w:cs="Calibri"/>
      <w:sz w:val="20"/>
      <w:szCs w:val="20"/>
      <w:lang w:val="es-AR" w:eastAsia="es-MX"/>
    </w:rPr>
  </w:style>
  <w:style w:type="character" w:customStyle="1" w:styleId="TextonotapieCar">
    <w:name w:val="Texto nota pie Car"/>
    <w:link w:val="Textonotapie"/>
    <w:rsid w:val="002B1107"/>
    <w:rPr>
      <w:rFonts w:ascii="Calibri" w:hAnsi="Calibri" w:cs="Calibri"/>
      <w:lang w:val="es-AR"/>
    </w:rPr>
  </w:style>
  <w:style w:type="paragraph" w:customStyle="1" w:styleId="BalloonText">
    <w:name w:val="Balloon Text"/>
    <w:basedOn w:val="Normal"/>
    <w:rsid w:val="002B1107"/>
    <w:rPr>
      <w:rFonts w:ascii="Tahoma" w:hAnsi="Tahoma" w:cs="Tahoma"/>
      <w:sz w:val="16"/>
      <w:szCs w:val="20"/>
      <w:lang w:val="es-ES" w:eastAsia="es-MX"/>
    </w:rPr>
  </w:style>
  <w:style w:type="paragraph" w:customStyle="1" w:styleId="Prrafodelista1">
    <w:name w:val="Párrafo de lista1"/>
    <w:basedOn w:val="Normal"/>
    <w:rsid w:val="002B1107"/>
    <w:pPr>
      <w:spacing w:before="360" w:after="200"/>
      <w:ind w:left="720"/>
    </w:pPr>
    <w:rPr>
      <w:rFonts w:ascii="Calibri" w:hAnsi="Calibri" w:cs="Calibri"/>
      <w:sz w:val="22"/>
      <w:szCs w:val="20"/>
      <w:lang w:val="es-AR" w:eastAsia="es-MX"/>
    </w:rPr>
  </w:style>
  <w:style w:type="paragraph" w:styleId="Ttulo">
    <w:name w:val="Title"/>
    <w:basedOn w:val="Normal"/>
    <w:next w:val="Normal"/>
    <w:link w:val="TtuloCar"/>
    <w:qFormat/>
    <w:rsid w:val="002B1107"/>
    <w:pPr>
      <w:pBdr>
        <w:bottom w:val="single" w:sz="6" w:space="4" w:color="C0C0C0"/>
      </w:pBdr>
      <w:spacing w:after="300"/>
    </w:pPr>
    <w:rPr>
      <w:rFonts w:ascii="Cambria" w:hAnsi="Cambria" w:cs="Cambria"/>
      <w:color w:val="000080"/>
      <w:spacing w:val="5"/>
      <w:sz w:val="52"/>
      <w:szCs w:val="20"/>
      <w:lang w:val="es-ES" w:eastAsia="es-MX"/>
    </w:rPr>
  </w:style>
  <w:style w:type="character" w:customStyle="1" w:styleId="TtuloCar">
    <w:name w:val="Título Car"/>
    <w:link w:val="Ttulo"/>
    <w:rsid w:val="002B1107"/>
    <w:rPr>
      <w:rFonts w:ascii="Cambria" w:hAnsi="Cambria" w:cs="Cambria"/>
      <w:color w:val="000080"/>
      <w:spacing w:val="5"/>
      <w:sz w:val="52"/>
      <w:lang w:val="es-ES"/>
    </w:rPr>
  </w:style>
  <w:style w:type="paragraph" w:customStyle="1" w:styleId="ttulo0">
    <w:name w:val="título"/>
    <w:basedOn w:val="Normal"/>
    <w:next w:val="Normal"/>
    <w:rsid w:val="002B1107"/>
    <w:pPr>
      <w:spacing w:after="200"/>
    </w:pPr>
    <w:rPr>
      <w:rFonts w:ascii="Verdana" w:hAnsi="Verdana" w:cs="Verdana"/>
      <w:b/>
      <w:color w:val="C0C0C0"/>
      <w:sz w:val="18"/>
      <w:szCs w:val="20"/>
      <w:lang w:val="es-ES" w:eastAsia="es-MX"/>
    </w:rPr>
  </w:style>
  <w:style w:type="paragraph" w:customStyle="1" w:styleId="xl65">
    <w:name w:val="xl65"/>
    <w:basedOn w:val="Normal"/>
    <w:rsid w:val="002B1107"/>
    <w:pPr>
      <w:pBdr>
        <w:top w:val="single" w:sz="6" w:space="0" w:color="auto"/>
        <w:left w:val="single" w:sz="6" w:space="0" w:color="auto"/>
        <w:bottom w:val="single" w:sz="6" w:space="0" w:color="auto"/>
        <w:right w:val="single" w:sz="6" w:space="0" w:color="auto"/>
      </w:pBdr>
      <w:spacing w:before="100" w:after="100"/>
      <w:jc w:val="center"/>
    </w:pPr>
    <w:rPr>
      <w:sz w:val="20"/>
      <w:szCs w:val="20"/>
      <w:lang w:val="en-US" w:eastAsia="es-MX"/>
    </w:rPr>
  </w:style>
  <w:style w:type="paragraph" w:customStyle="1" w:styleId="xl66">
    <w:name w:val="xl66"/>
    <w:basedOn w:val="Normal"/>
    <w:rsid w:val="002B1107"/>
    <w:pPr>
      <w:pBdr>
        <w:top w:val="single" w:sz="6" w:space="0" w:color="auto"/>
        <w:left w:val="single" w:sz="6" w:space="0" w:color="auto"/>
        <w:bottom w:val="single" w:sz="6" w:space="0" w:color="auto"/>
        <w:right w:val="single" w:sz="6" w:space="0" w:color="auto"/>
      </w:pBdr>
      <w:spacing w:before="100" w:after="100"/>
    </w:pPr>
    <w:rPr>
      <w:sz w:val="20"/>
      <w:szCs w:val="20"/>
      <w:lang w:val="en-US" w:eastAsia="es-MX"/>
    </w:rPr>
  </w:style>
  <w:style w:type="paragraph" w:customStyle="1" w:styleId="xl67">
    <w:name w:val="xl67"/>
    <w:basedOn w:val="Normal"/>
    <w:rsid w:val="002B1107"/>
    <w:pPr>
      <w:pBdr>
        <w:top w:val="single" w:sz="6" w:space="0" w:color="auto"/>
        <w:left w:val="single" w:sz="6" w:space="0" w:color="auto"/>
        <w:bottom w:val="single" w:sz="6" w:space="0" w:color="auto"/>
        <w:right w:val="single" w:sz="6" w:space="0" w:color="auto"/>
      </w:pBdr>
      <w:spacing w:before="100" w:after="100"/>
    </w:pPr>
    <w:rPr>
      <w:sz w:val="20"/>
      <w:szCs w:val="20"/>
      <w:lang w:val="en-US" w:eastAsia="es-MX"/>
    </w:rPr>
  </w:style>
  <w:style w:type="paragraph" w:customStyle="1" w:styleId="xl68">
    <w:name w:val="xl68"/>
    <w:basedOn w:val="Normal"/>
    <w:rsid w:val="002B1107"/>
    <w:pPr>
      <w:pBdr>
        <w:top w:val="single" w:sz="6" w:space="0" w:color="auto"/>
        <w:left w:val="single" w:sz="6" w:space="0" w:color="auto"/>
        <w:bottom w:val="single" w:sz="6" w:space="0" w:color="auto"/>
        <w:right w:val="single" w:sz="6" w:space="0" w:color="auto"/>
      </w:pBdr>
      <w:spacing w:before="100" w:after="100"/>
      <w:jc w:val="center"/>
    </w:pPr>
    <w:rPr>
      <w:color w:val="000000"/>
      <w:sz w:val="20"/>
      <w:szCs w:val="20"/>
      <w:lang w:val="en-US" w:eastAsia="es-MX"/>
    </w:rPr>
  </w:style>
  <w:style w:type="paragraph" w:customStyle="1" w:styleId="xl69">
    <w:name w:val="xl69"/>
    <w:basedOn w:val="Normal"/>
    <w:rsid w:val="002B1107"/>
    <w:pPr>
      <w:pBdr>
        <w:top w:val="single" w:sz="6" w:space="0" w:color="auto"/>
        <w:left w:val="single" w:sz="6" w:space="0" w:color="auto"/>
        <w:bottom w:val="single" w:sz="6" w:space="0" w:color="auto"/>
        <w:right w:val="single" w:sz="6" w:space="0" w:color="auto"/>
      </w:pBdr>
      <w:spacing w:before="100" w:after="100"/>
    </w:pPr>
    <w:rPr>
      <w:color w:val="000000"/>
      <w:sz w:val="20"/>
      <w:szCs w:val="20"/>
      <w:lang w:val="en-US" w:eastAsia="es-MX"/>
    </w:rPr>
  </w:style>
  <w:style w:type="paragraph" w:customStyle="1" w:styleId="xl70">
    <w:name w:val="xl70"/>
    <w:basedOn w:val="Normal"/>
    <w:rsid w:val="002B1107"/>
    <w:pPr>
      <w:pBdr>
        <w:top w:val="single" w:sz="6" w:space="0" w:color="auto"/>
        <w:left w:val="single" w:sz="6" w:space="0" w:color="auto"/>
        <w:bottom w:val="single" w:sz="6" w:space="0" w:color="auto"/>
        <w:right w:val="single" w:sz="6" w:space="0" w:color="auto"/>
      </w:pBdr>
      <w:spacing w:before="100" w:after="100"/>
      <w:jc w:val="center"/>
    </w:pPr>
    <w:rPr>
      <w:color w:val="000000"/>
      <w:sz w:val="20"/>
      <w:szCs w:val="20"/>
      <w:lang w:val="en-US" w:eastAsia="es-MX"/>
    </w:rPr>
  </w:style>
  <w:style w:type="paragraph" w:customStyle="1" w:styleId="xl71">
    <w:name w:val="xl71"/>
    <w:basedOn w:val="Normal"/>
    <w:rsid w:val="002B1107"/>
    <w:pPr>
      <w:pBdr>
        <w:top w:val="single" w:sz="6" w:space="0" w:color="auto"/>
        <w:left w:val="single" w:sz="6" w:space="0" w:color="auto"/>
        <w:bottom w:val="single" w:sz="6" w:space="0" w:color="auto"/>
        <w:right w:val="single" w:sz="6" w:space="0" w:color="auto"/>
      </w:pBdr>
      <w:spacing w:before="100" w:after="100"/>
      <w:jc w:val="center"/>
    </w:pPr>
    <w:rPr>
      <w:color w:val="C0C0C0"/>
      <w:sz w:val="20"/>
      <w:szCs w:val="20"/>
      <w:lang w:val="en-US" w:eastAsia="es-MX"/>
    </w:rPr>
  </w:style>
  <w:style w:type="paragraph" w:customStyle="1" w:styleId="xl72">
    <w:name w:val="xl72"/>
    <w:basedOn w:val="Normal"/>
    <w:rsid w:val="002B1107"/>
    <w:pPr>
      <w:pBdr>
        <w:top w:val="single" w:sz="6" w:space="0" w:color="auto"/>
        <w:left w:val="single" w:sz="6" w:space="0" w:color="auto"/>
        <w:bottom w:val="single" w:sz="6" w:space="0" w:color="auto"/>
        <w:right w:val="single" w:sz="6" w:space="0" w:color="auto"/>
      </w:pBdr>
      <w:spacing w:before="100" w:after="100"/>
      <w:jc w:val="center"/>
    </w:pPr>
    <w:rPr>
      <w:color w:val="000000"/>
      <w:sz w:val="20"/>
      <w:szCs w:val="20"/>
      <w:lang w:val="en-US" w:eastAsia="es-MX"/>
    </w:rPr>
  </w:style>
  <w:style w:type="paragraph" w:customStyle="1" w:styleId="xl73">
    <w:name w:val="xl73"/>
    <w:basedOn w:val="Normal"/>
    <w:rsid w:val="002B1107"/>
    <w:pPr>
      <w:pBdr>
        <w:top w:val="single" w:sz="6" w:space="0" w:color="auto"/>
        <w:left w:val="single" w:sz="6" w:space="0" w:color="auto"/>
        <w:bottom w:val="single" w:sz="6" w:space="0" w:color="auto"/>
        <w:right w:val="single" w:sz="6" w:space="0" w:color="auto"/>
      </w:pBdr>
      <w:spacing w:before="100" w:after="100"/>
    </w:pPr>
    <w:rPr>
      <w:color w:val="000000"/>
      <w:sz w:val="20"/>
      <w:szCs w:val="20"/>
      <w:lang w:val="en-US" w:eastAsia="es-MX"/>
    </w:rPr>
  </w:style>
  <w:style w:type="paragraph" w:customStyle="1" w:styleId="xl74">
    <w:name w:val="xl74"/>
    <w:basedOn w:val="Normal"/>
    <w:rsid w:val="002B1107"/>
    <w:pPr>
      <w:pBdr>
        <w:top w:val="single" w:sz="6" w:space="0" w:color="auto"/>
        <w:left w:val="single" w:sz="6" w:space="0" w:color="auto"/>
        <w:bottom w:val="single" w:sz="6" w:space="0" w:color="auto"/>
        <w:right w:val="single" w:sz="6" w:space="0" w:color="auto"/>
      </w:pBdr>
      <w:spacing w:before="100" w:after="100"/>
      <w:jc w:val="center"/>
    </w:pPr>
    <w:rPr>
      <w:color w:val="000000"/>
      <w:sz w:val="20"/>
      <w:szCs w:val="20"/>
      <w:lang w:val="en-US" w:eastAsia="es-MX"/>
    </w:rPr>
  </w:style>
  <w:style w:type="paragraph" w:customStyle="1" w:styleId="xl75">
    <w:name w:val="xl75"/>
    <w:basedOn w:val="Normal"/>
    <w:rsid w:val="002B1107"/>
    <w:pPr>
      <w:spacing w:before="100" w:after="100"/>
      <w:jc w:val="center"/>
    </w:pPr>
    <w:rPr>
      <w:szCs w:val="20"/>
      <w:lang w:val="en-US" w:eastAsia="es-MX"/>
    </w:rPr>
  </w:style>
  <w:style w:type="paragraph" w:customStyle="1" w:styleId="xl76">
    <w:name w:val="xl76"/>
    <w:basedOn w:val="Normal"/>
    <w:rsid w:val="002B1107"/>
    <w:pPr>
      <w:spacing w:before="100" w:after="100"/>
    </w:pPr>
    <w:rPr>
      <w:szCs w:val="20"/>
      <w:lang w:val="en-US" w:eastAsia="es-MX"/>
    </w:rPr>
  </w:style>
  <w:style w:type="paragraph" w:customStyle="1" w:styleId="xl77">
    <w:name w:val="xl77"/>
    <w:basedOn w:val="Normal"/>
    <w:rsid w:val="002B1107"/>
    <w:pPr>
      <w:spacing w:before="100" w:after="100"/>
      <w:jc w:val="center"/>
    </w:pPr>
    <w:rPr>
      <w:szCs w:val="20"/>
      <w:lang w:val="en-US" w:eastAsia="es-MX"/>
    </w:rPr>
  </w:style>
  <w:style w:type="paragraph" w:customStyle="1" w:styleId="font5">
    <w:name w:val="font5"/>
    <w:basedOn w:val="Normal"/>
    <w:rsid w:val="002B1107"/>
    <w:pPr>
      <w:spacing w:before="100" w:after="100"/>
    </w:pPr>
    <w:rPr>
      <w:rFonts w:ascii="Calibri" w:hAnsi="Calibri" w:cs="Calibri"/>
      <w:color w:val="000000"/>
      <w:sz w:val="20"/>
      <w:szCs w:val="20"/>
      <w:lang w:val="en-US" w:eastAsia="es-MX"/>
    </w:rPr>
  </w:style>
  <w:style w:type="paragraph" w:customStyle="1" w:styleId="texto0">
    <w:name w:val="texto"/>
    <w:basedOn w:val="Normal"/>
    <w:rsid w:val="002B1107"/>
    <w:pPr>
      <w:spacing w:after="101" w:line="216" w:lineRule="exact"/>
      <w:ind w:firstLine="288"/>
      <w:jc w:val="both"/>
    </w:pPr>
    <w:rPr>
      <w:rFonts w:ascii="Arial" w:hAnsi="Arial" w:cs="Arial"/>
      <w:sz w:val="18"/>
      <w:szCs w:val="20"/>
      <w:lang w:eastAsia="es-MX"/>
    </w:rPr>
  </w:style>
  <w:style w:type="paragraph" w:customStyle="1" w:styleId="EstilotextoPrimeral">
    <w:name w:val="Estilo texto + Primera l"/>
    <w:basedOn w:val="texto0"/>
    <w:rsid w:val="002B1107"/>
    <w:pPr>
      <w:ind w:firstLine="0"/>
    </w:pPr>
  </w:style>
  <w:style w:type="paragraph" w:styleId="NormalWeb">
    <w:name w:val="Normal (Web)"/>
    <w:basedOn w:val="Normal"/>
    <w:rsid w:val="002B1107"/>
    <w:pPr>
      <w:spacing w:before="100" w:after="100"/>
    </w:pPr>
    <w:rPr>
      <w:szCs w:val="20"/>
      <w:lang w:val="es-ES" w:eastAsia="es-MX"/>
    </w:rPr>
  </w:style>
  <w:style w:type="paragraph" w:customStyle="1" w:styleId="Textonormal">
    <w:name w:val="Texto normal"/>
    <w:basedOn w:val="Normal"/>
    <w:rsid w:val="002B1107"/>
    <w:pPr>
      <w:jc w:val="both"/>
    </w:pPr>
    <w:rPr>
      <w:rFonts w:ascii="Arial" w:hAnsi="Arial" w:cs="Arial"/>
      <w:sz w:val="22"/>
      <w:szCs w:val="20"/>
      <w:lang w:val="es-ES" w:eastAsia="es-MX"/>
    </w:rPr>
  </w:style>
  <w:style w:type="paragraph" w:customStyle="1" w:styleId="BodyText2">
    <w:name w:val="Body Text 2"/>
    <w:basedOn w:val="Normal"/>
    <w:rsid w:val="002B1107"/>
    <w:pPr>
      <w:spacing w:before="360" w:after="200"/>
      <w:ind w:firstLine="708"/>
      <w:jc w:val="both"/>
    </w:pPr>
    <w:rPr>
      <w:rFonts w:ascii="Arial" w:hAnsi="Arial" w:cs="Arial"/>
      <w:sz w:val="22"/>
      <w:szCs w:val="20"/>
      <w:lang w:val="es-AR" w:eastAsia="es-MX"/>
    </w:rPr>
  </w:style>
  <w:style w:type="paragraph" w:customStyle="1" w:styleId="arial">
    <w:name w:val="arial"/>
    <w:basedOn w:val="Normal"/>
    <w:rsid w:val="002B1107"/>
    <w:rPr>
      <w:b/>
      <w:szCs w:val="20"/>
      <w:lang w:val="es-ES" w:eastAsia="es-MX"/>
    </w:rPr>
  </w:style>
  <w:style w:type="paragraph" w:customStyle="1" w:styleId="Modelo1">
    <w:name w:val="Modelo 1"/>
    <w:basedOn w:val="Normal"/>
    <w:rsid w:val="002B1107"/>
    <w:pPr>
      <w:tabs>
        <w:tab w:val="left" w:pos="792"/>
      </w:tabs>
      <w:spacing w:before="60" w:after="60"/>
      <w:ind w:left="792" w:hanging="432"/>
      <w:jc w:val="both"/>
    </w:pPr>
    <w:rPr>
      <w:rFonts w:ascii="Arial" w:hAnsi="Arial" w:cs="Arial"/>
      <w:b/>
      <w:sz w:val="22"/>
      <w:szCs w:val="20"/>
      <w:lang w:eastAsia="es-MX"/>
    </w:rPr>
  </w:style>
  <w:style w:type="paragraph" w:customStyle="1" w:styleId="DocumentMap">
    <w:name w:val="Document Map"/>
    <w:basedOn w:val="Normal"/>
    <w:rsid w:val="002B1107"/>
    <w:pPr>
      <w:shd w:val="clear" w:color="auto" w:fill="000080"/>
    </w:pPr>
    <w:rPr>
      <w:rFonts w:ascii="Tahoma" w:hAnsi="Tahoma" w:cs="Tahoma"/>
      <w:sz w:val="20"/>
      <w:szCs w:val="20"/>
      <w:lang w:val="es-ES" w:eastAsia="es-MX"/>
    </w:rPr>
  </w:style>
  <w:style w:type="paragraph" w:customStyle="1" w:styleId="EstiloTtulo1Verdan">
    <w:name w:val="Estilo Título 1 + Verdan"/>
    <w:basedOn w:val="Ttulo1"/>
    <w:rsid w:val="002B1107"/>
    <w:pPr>
      <w:keepNext/>
      <w:pBdr>
        <w:bottom w:val="none" w:sz="0" w:space="0" w:color="auto"/>
        <w:between w:val="none" w:sz="0" w:space="0" w:color="auto"/>
      </w:pBdr>
      <w:tabs>
        <w:tab w:val="left" w:pos="993"/>
      </w:tabs>
      <w:spacing w:before="0"/>
      <w:ind w:left="993" w:hanging="993"/>
    </w:pPr>
    <w:rPr>
      <w:rFonts w:ascii="Calibri" w:hAnsi="Calibri" w:cs="Calibri"/>
      <w:smallCaps/>
      <w:sz w:val="24"/>
      <w:szCs w:val="20"/>
      <w:lang w:eastAsia="es-MX"/>
    </w:rPr>
  </w:style>
  <w:style w:type="paragraph" w:customStyle="1" w:styleId="paper">
    <w:name w:val="paper"/>
    <w:basedOn w:val="Normal"/>
    <w:rsid w:val="002B1107"/>
    <w:pPr>
      <w:spacing w:before="120"/>
      <w:ind w:firstLine="720"/>
      <w:jc w:val="both"/>
    </w:pPr>
    <w:rPr>
      <w:rFonts w:ascii="Garamond" w:hAnsi="Garamond" w:cs="Garamond"/>
      <w:sz w:val="22"/>
      <w:szCs w:val="20"/>
      <w:lang w:val="en-US" w:eastAsia="es-MX"/>
    </w:rPr>
  </w:style>
  <w:style w:type="paragraph" w:customStyle="1" w:styleId="annotationsubject">
    <w:name w:val="annotation subject"/>
    <w:basedOn w:val="Textocomentario"/>
    <w:next w:val="Textocomentario"/>
    <w:rsid w:val="002B1107"/>
    <w:rPr>
      <w:b/>
    </w:rPr>
  </w:style>
  <w:style w:type="paragraph" w:customStyle="1" w:styleId="font6">
    <w:name w:val="font6"/>
    <w:basedOn w:val="Normal"/>
    <w:rsid w:val="002B1107"/>
    <w:pPr>
      <w:spacing w:before="100" w:after="100"/>
    </w:pPr>
    <w:rPr>
      <w:rFonts w:ascii="Tahoma" w:hAnsi="Tahoma" w:cs="Tahoma"/>
      <w:b/>
      <w:color w:val="000000"/>
      <w:sz w:val="18"/>
      <w:szCs w:val="20"/>
      <w:lang w:val="es-ES" w:eastAsia="es-MX"/>
    </w:rPr>
  </w:style>
  <w:style w:type="paragraph" w:styleId="Subttulo">
    <w:name w:val="Subtitle"/>
    <w:basedOn w:val="Normal"/>
    <w:next w:val="Normal"/>
    <w:link w:val="SubttuloCar"/>
    <w:qFormat/>
    <w:rsid w:val="002B1107"/>
    <w:pPr>
      <w:spacing w:after="60"/>
      <w:jc w:val="center"/>
    </w:pPr>
    <w:rPr>
      <w:rFonts w:ascii="Cambria" w:hAnsi="Cambria" w:cs="Cambria"/>
      <w:szCs w:val="20"/>
      <w:lang w:val="es-ES" w:eastAsia="es-MX"/>
    </w:rPr>
  </w:style>
  <w:style w:type="character" w:customStyle="1" w:styleId="SubttuloCar">
    <w:name w:val="Subtítulo Car"/>
    <w:link w:val="Subttulo"/>
    <w:rsid w:val="002B1107"/>
    <w:rPr>
      <w:rFonts w:ascii="Cambria" w:hAnsi="Cambria" w:cs="Cambria"/>
      <w:sz w:val="24"/>
      <w:lang w:val="es-ES"/>
    </w:rPr>
  </w:style>
  <w:style w:type="paragraph" w:customStyle="1" w:styleId="rom">
    <w:name w:val="rom"/>
    <w:basedOn w:val="Texto"/>
    <w:rsid w:val="002B1107"/>
    <w:pPr>
      <w:ind w:left="1080" w:hanging="792"/>
    </w:pPr>
    <w:rPr>
      <w:b/>
      <w:lang w:val="es-ES" w:eastAsia="es-MX"/>
    </w:rPr>
  </w:style>
  <w:style w:type="paragraph" w:customStyle="1" w:styleId="Sumario">
    <w:name w:val="Sumario"/>
    <w:basedOn w:val="Normal"/>
    <w:rsid w:val="002B1107"/>
    <w:pPr>
      <w:tabs>
        <w:tab w:val="right" w:leader="dot" w:pos="8107"/>
        <w:tab w:val="right" w:pos="8640"/>
      </w:tabs>
      <w:spacing w:line="260" w:lineRule="exact"/>
      <w:ind w:left="274" w:right="749"/>
      <w:jc w:val="both"/>
    </w:pPr>
    <w:rPr>
      <w:rFonts w:ascii="Arial" w:hAnsi="Arial" w:cs="Arial"/>
      <w:sz w:val="18"/>
      <w:szCs w:val="20"/>
      <w:lang w:val="es-ES" w:eastAsia="es-MX"/>
    </w:rPr>
  </w:style>
  <w:style w:type="paragraph" w:customStyle="1" w:styleId="Secreta">
    <w:name w:val="Secreta"/>
    <w:basedOn w:val="Normal"/>
    <w:rsid w:val="002B1107"/>
    <w:pPr>
      <w:tabs>
        <w:tab w:val="right" w:leader="dot" w:pos="8100"/>
        <w:tab w:val="right" w:pos="8640"/>
      </w:tabs>
      <w:spacing w:line="334" w:lineRule="exact"/>
      <w:ind w:left="274" w:right="749"/>
      <w:jc w:val="both"/>
    </w:pPr>
    <w:rPr>
      <w:b/>
      <w:sz w:val="20"/>
      <w:szCs w:val="20"/>
      <w:u w:val="single"/>
      <w:lang w:val="es-ES_tradnl" w:eastAsia="es-MX"/>
    </w:rPr>
  </w:style>
  <w:style w:type="character" w:customStyle="1" w:styleId="EncabezadoCar">
    <w:name w:val="Encabezado Car"/>
    <w:link w:val="Encabezado"/>
    <w:uiPriority w:val="99"/>
    <w:rsid w:val="009A1B40"/>
    <w:rPr>
      <w:sz w:val="24"/>
      <w:szCs w:val="24"/>
      <w:lang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garciav\AppData\Roaming\Microsoft\Plantillas\MODELO.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MODELO</Template>
  <TotalTime>1</TotalTime>
  <Pages>3</Pages>
  <Words>1314</Words>
  <Characters>7230</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lpstr>
    </vt:vector>
  </TitlesOfParts>
  <Company>Diario Oficial de la Federación</Company>
  <LinksUpToDate>false</LinksUpToDate>
  <CharactersWithSpaces>8527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DOF</dc:creator>
  <cp:keywords/>
  <cp:lastModifiedBy>David Arizmendi Parra</cp:lastModifiedBy>
  <cp:revision>2</cp:revision>
  <cp:lastPrinted>2013-08-08T01:28:00Z</cp:lastPrinted>
  <dcterms:created xsi:type="dcterms:W3CDTF">2013-10-05T01:58:00Z</dcterms:created>
  <dcterms:modified xsi:type="dcterms:W3CDTF">2013-10-05T01:58:00Z</dcterms:modified>
</cp:coreProperties>
</file>