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173" w:rsidRPr="00A85EC2" w:rsidRDefault="00FA1173" w:rsidP="00FA1173">
      <w:pPr>
        <w:pStyle w:val="Titulo1"/>
        <w:rPr>
          <w:rFonts w:cs="Times New Roman"/>
        </w:rPr>
      </w:pPr>
      <w:r w:rsidRPr="00A85EC2">
        <w:rPr>
          <w:rFonts w:cs="Times New Roman"/>
        </w:rPr>
        <w:t>ACUERDO por el que se determina la norma de información financiera para precisar los alcances del Acuerdo 1 aprobado por el Consejo Nacional de Armonización Contable, en reunión del 3 de mayo de 2013 y publicado el 16 de mayo de 2013.</w:t>
      </w:r>
    </w:p>
    <w:p w:rsidR="003F3C25" w:rsidRDefault="003F3C25" w:rsidP="002B1107">
      <w:pPr>
        <w:pStyle w:val="Texto"/>
      </w:pPr>
    </w:p>
    <w:p w:rsidR="002B1107" w:rsidRPr="002B1107" w:rsidRDefault="002B1107" w:rsidP="00C81C26">
      <w:pPr>
        <w:pStyle w:val="Texto"/>
        <w:spacing w:line="209" w:lineRule="exact"/>
        <w:rPr>
          <w:szCs w:val="18"/>
        </w:rPr>
      </w:pPr>
      <w:r w:rsidRPr="002B1107">
        <w:rPr>
          <w:szCs w:val="18"/>
        </w:rPr>
        <w:t>El Consejo Nacional de Armonización Contable con fundamento en los artículos 6, 7, y 9, fracción I, de la Ley General de Contabilidad Gubernamental, aprobó el siguiente:</w:t>
      </w:r>
    </w:p>
    <w:p w:rsidR="002B1107" w:rsidRPr="002B1107" w:rsidRDefault="00FA1173" w:rsidP="00C81C26">
      <w:pPr>
        <w:pStyle w:val="ANOTACION"/>
        <w:spacing w:line="209" w:lineRule="exact"/>
      </w:pPr>
      <w:r w:rsidRPr="002B1107">
        <w:t xml:space="preserve">ACUERDO POR EL QUE SE DETERMINA LA NORMA DE INFORMACIÓN FINANCIERA PARA PRECISAR LOS ALCANCES DEL ACUERDO 1 APROBADO POR EL CONSEJO NACIONAL DE ARMONIZACIÓN CONTABLE, EN REUNIÓN DEL 3 DE MAYO DE 2013 Y PUBLICADO EN </w:t>
      </w:r>
      <w:r w:rsidR="00A85EC2">
        <w:t xml:space="preserve"> </w:t>
      </w:r>
      <w:r w:rsidRPr="002B1107">
        <w:t>EL</w:t>
      </w:r>
      <w:r w:rsidR="009302F0">
        <w:t xml:space="preserve"> </w:t>
      </w:r>
      <w:r w:rsidRPr="002B1107">
        <w:t>DIARIO OFICIAL DE LA FEDERACIÓN</w:t>
      </w:r>
      <w:r w:rsidR="00E57D61">
        <w:t xml:space="preserve"> </w:t>
      </w:r>
      <w:r w:rsidRPr="002B1107">
        <w:t>EL 16 DE MAYO DE 2013</w:t>
      </w:r>
    </w:p>
    <w:p w:rsidR="002B1107" w:rsidRDefault="002B1107" w:rsidP="00C81C26">
      <w:pPr>
        <w:pStyle w:val="Texto"/>
        <w:spacing w:line="209" w:lineRule="exact"/>
        <w:rPr>
          <w:szCs w:val="18"/>
        </w:rPr>
      </w:pPr>
      <w:r w:rsidRPr="002B1107">
        <w:rPr>
          <w:szCs w:val="18"/>
        </w:rPr>
        <w:t>Con relación al Acuerdo 1 aprobado por el Consejo Nacional de Armonización Contable (CONAC), en reunión del 3 de mayo de 2013 y publicado en el Diario Oficial de la Federación (DOF) el 16 de mayo de 2013, y derivado de los resultados del diagnóstico del Grupo de Trabajo integrado por el Secretario Técnico del CONAC y la Asociación Nacional de Organismos de Fiscalización Superior y Control Gubernamental, A.C. (ASOFIS), se considera necesario realizar diversas precisiones al acuerdo señalado.</w:t>
      </w:r>
    </w:p>
    <w:p w:rsidR="002B1107" w:rsidRPr="002B1107" w:rsidRDefault="002B1107" w:rsidP="00C81C26">
      <w:pPr>
        <w:pStyle w:val="Texto"/>
        <w:spacing w:line="209" w:lineRule="exact"/>
        <w:rPr>
          <w:szCs w:val="18"/>
        </w:rPr>
      </w:pPr>
      <w:r w:rsidRPr="002B1107">
        <w:rPr>
          <w:szCs w:val="18"/>
        </w:rPr>
        <w:t>El CONAC, con fundamento en el artículo 9, fracciones XII y XIII, de la Ley General de Contabilidad Gubernamental (LGCG), en su Segunda Reunión de 2013, celebrada el 3 de mayo de 2013, acordó determinar los plazos para que la Federación, las entidades federativas y los municipios adopten las decisiones que a continuación se indican:</w:t>
      </w:r>
    </w:p>
    <w:tbl>
      <w:tblPr>
        <w:tblW w:w="8712" w:type="dxa"/>
        <w:jc w:val="center"/>
        <w:tblCellMar>
          <w:left w:w="72" w:type="dxa"/>
          <w:right w:w="72" w:type="dxa"/>
        </w:tblCellMar>
        <w:tblLook w:val="0000"/>
      </w:tblPr>
      <w:tblGrid>
        <w:gridCol w:w="3715"/>
        <w:gridCol w:w="2653"/>
        <w:gridCol w:w="2344"/>
      </w:tblGrid>
      <w:tr w:rsidR="002B1107" w:rsidRPr="002B1107">
        <w:tblPrEx>
          <w:tblCellMar>
            <w:top w:w="0" w:type="dxa"/>
            <w:bottom w:w="0" w:type="dxa"/>
          </w:tblCellMar>
        </w:tblPrEx>
        <w:trPr>
          <w:trHeight w:val="20"/>
          <w:jc w:val="center"/>
        </w:trPr>
        <w:tc>
          <w:tcPr>
            <w:tcW w:w="3715" w:type="dxa"/>
            <w:tcBorders>
              <w:top w:val="single" w:sz="6" w:space="0" w:color="auto"/>
              <w:left w:val="single" w:sz="6" w:space="0" w:color="auto"/>
              <w:bottom w:val="single" w:sz="6" w:space="0" w:color="auto"/>
              <w:right w:val="single" w:sz="6" w:space="0" w:color="auto"/>
            </w:tcBorders>
            <w:noWrap/>
            <w:vAlign w:val="center"/>
          </w:tcPr>
          <w:p w:rsidR="002B1107" w:rsidRPr="002B1107" w:rsidRDefault="002B1107" w:rsidP="00C81C26">
            <w:pPr>
              <w:pStyle w:val="Texto"/>
              <w:spacing w:line="209" w:lineRule="exact"/>
              <w:ind w:firstLine="0"/>
              <w:rPr>
                <w:b/>
                <w:szCs w:val="18"/>
              </w:rPr>
            </w:pPr>
            <w:r w:rsidRPr="002B1107">
              <w:rPr>
                <w:b/>
                <w:szCs w:val="18"/>
              </w:rPr>
              <w:t>Meta</w:t>
            </w:r>
          </w:p>
        </w:tc>
        <w:tc>
          <w:tcPr>
            <w:tcW w:w="2653"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La Federación, las Entidades Federativas y sus respectivos entes públicos a más tardar</w:t>
            </w:r>
          </w:p>
        </w:tc>
        <w:tc>
          <w:tcPr>
            <w:tcW w:w="2344"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Los Municipios y sus entes públicos a más tardar</w:t>
            </w:r>
          </w:p>
        </w:tc>
      </w:tr>
      <w:tr w:rsidR="002B1107" w:rsidRPr="002B1107">
        <w:tblPrEx>
          <w:tblCellMar>
            <w:top w:w="0" w:type="dxa"/>
            <w:bottom w:w="0" w:type="dxa"/>
          </w:tblCellMar>
        </w:tblPrEx>
        <w:trPr>
          <w:trHeight w:val="20"/>
          <w:jc w:val="center"/>
        </w:trPr>
        <w:tc>
          <w:tcPr>
            <w:tcW w:w="3715"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b/>
                <w:szCs w:val="18"/>
              </w:rPr>
            </w:pPr>
            <w:r w:rsidRPr="002B1107">
              <w:rPr>
                <w:b/>
                <w:szCs w:val="18"/>
              </w:rPr>
              <w:t>Integración automática del ejercicio presupuestario con la operación contable</w:t>
            </w:r>
          </w:p>
        </w:tc>
        <w:tc>
          <w:tcPr>
            <w:tcW w:w="2653"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30 de Junio de 2014</w:t>
            </w:r>
          </w:p>
        </w:tc>
        <w:tc>
          <w:tcPr>
            <w:tcW w:w="2344"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30 de Junio de 2015</w:t>
            </w:r>
          </w:p>
        </w:tc>
      </w:tr>
      <w:tr w:rsidR="002B1107" w:rsidRPr="002B1107">
        <w:tblPrEx>
          <w:tblCellMar>
            <w:top w:w="0" w:type="dxa"/>
            <w:bottom w:w="0" w:type="dxa"/>
          </w:tblCellMar>
        </w:tblPrEx>
        <w:trPr>
          <w:trHeight w:val="20"/>
          <w:jc w:val="center"/>
        </w:trPr>
        <w:tc>
          <w:tcPr>
            <w:tcW w:w="3715"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b/>
                <w:szCs w:val="18"/>
              </w:rPr>
            </w:pPr>
            <w:r w:rsidRPr="002B1107">
              <w:rPr>
                <w:b/>
                <w:szCs w:val="18"/>
              </w:rPr>
              <w:t>Realizar los registros contables con base en las Reglas de Registro y Valoración del Patrimonio</w:t>
            </w:r>
          </w:p>
        </w:tc>
        <w:tc>
          <w:tcPr>
            <w:tcW w:w="2653"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31 de Diciembre de 2014</w:t>
            </w:r>
          </w:p>
        </w:tc>
        <w:tc>
          <w:tcPr>
            <w:tcW w:w="2344"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31 de Diciembre de 2015</w:t>
            </w:r>
          </w:p>
        </w:tc>
      </w:tr>
      <w:tr w:rsidR="002B1107" w:rsidRPr="002B1107">
        <w:tblPrEx>
          <w:tblCellMar>
            <w:top w:w="0" w:type="dxa"/>
            <w:bottom w:w="0" w:type="dxa"/>
          </w:tblCellMar>
        </w:tblPrEx>
        <w:trPr>
          <w:trHeight w:val="20"/>
          <w:jc w:val="center"/>
        </w:trPr>
        <w:tc>
          <w:tcPr>
            <w:tcW w:w="3715"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b/>
                <w:szCs w:val="18"/>
              </w:rPr>
            </w:pPr>
            <w:r w:rsidRPr="002B1107">
              <w:rPr>
                <w:b/>
                <w:szCs w:val="18"/>
              </w:rPr>
              <w:t>Generación en tiempo real de estados financieros</w:t>
            </w:r>
          </w:p>
        </w:tc>
        <w:tc>
          <w:tcPr>
            <w:tcW w:w="2653"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30 de Junio de 2014</w:t>
            </w:r>
          </w:p>
        </w:tc>
        <w:tc>
          <w:tcPr>
            <w:tcW w:w="2344"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30 de Junio de 2015</w:t>
            </w:r>
          </w:p>
        </w:tc>
      </w:tr>
      <w:tr w:rsidR="002B1107" w:rsidRPr="002B1107">
        <w:tblPrEx>
          <w:tblCellMar>
            <w:top w:w="0" w:type="dxa"/>
            <w:bottom w:w="0" w:type="dxa"/>
          </w:tblCellMar>
        </w:tblPrEx>
        <w:trPr>
          <w:trHeight w:val="20"/>
          <w:jc w:val="center"/>
        </w:trPr>
        <w:tc>
          <w:tcPr>
            <w:tcW w:w="3715"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b/>
                <w:szCs w:val="18"/>
              </w:rPr>
            </w:pPr>
            <w:r w:rsidRPr="002B1107">
              <w:rPr>
                <w:b/>
                <w:szCs w:val="18"/>
              </w:rPr>
              <w:t>Emisión de Cuentas Públicas en los términos acordados por el Consejo</w:t>
            </w:r>
          </w:p>
        </w:tc>
        <w:tc>
          <w:tcPr>
            <w:tcW w:w="2653" w:type="dxa"/>
            <w:tcBorders>
              <w:top w:val="single" w:sz="6" w:space="0" w:color="auto"/>
              <w:left w:val="single" w:sz="6" w:space="0" w:color="auto"/>
              <w:bottom w:val="single" w:sz="6" w:space="0" w:color="auto"/>
              <w:right w:val="single" w:sz="6" w:space="0" w:color="auto"/>
            </w:tcBorders>
            <w:vAlign w:val="center"/>
          </w:tcPr>
          <w:p w:rsidR="002B1107" w:rsidRPr="00C81C26" w:rsidRDefault="002B1107" w:rsidP="00C81C26">
            <w:pPr>
              <w:pStyle w:val="Texto"/>
              <w:spacing w:line="209" w:lineRule="exact"/>
              <w:ind w:firstLine="0"/>
              <w:rPr>
                <w:spacing w:val="-2"/>
                <w:szCs w:val="18"/>
              </w:rPr>
            </w:pPr>
            <w:r w:rsidRPr="00C81C26">
              <w:rPr>
                <w:spacing w:val="-2"/>
                <w:szCs w:val="18"/>
              </w:rPr>
              <w:t>Para la correspondiente a 2014</w:t>
            </w:r>
          </w:p>
        </w:tc>
        <w:tc>
          <w:tcPr>
            <w:tcW w:w="2344" w:type="dxa"/>
            <w:tcBorders>
              <w:top w:val="single" w:sz="6" w:space="0" w:color="auto"/>
              <w:left w:val="single" w:sz="6" w:space="0" w:color="auto"/>
              <w:bottom w:val="single" w:sz="6" w:space="0" w:color="auto"/>
              <w:right w:val="single" w:sz="6" w:space="0" w:color="auto"/>
            </w:tcBorders>
            <w:vAlign w:val="center"/>
          </w:tcPr>
          <w:p w:rsidR="002B1107" w:rsidRPr="002B1107" w:rsidRDefault="002B1107" w:rsidP="00C81C26">
            <w:pPr>
              <w:pStyle w:val="Texto"/>
              <w:spacing w:line="209" w:lineRule="exact"/>
              <w:ind w:firstLine="0"/>
              <w:rPr>
                <w:szCs w:val="18"/>
              </w:rPr>
            </w:pPr>
            <w:r w:rsidRPr="002B1107">
              <w:rPr>
                <w:szCs w:val="18"/>
              </w:rPr>
              <w:t>Para la correspondiente</w:t>
            </w:r>
            <w:r w:rsidR="00A85EC2">
              <w:rPr>
                <w:szCs w:val="18"/>
              </w:rPr>
              <w:t xml:space="preserve"> </w:t>
            </w:r>
            <w:r w:rsidRPr="002B1107">
              <w:rPr>
                <w:szCs w:val="18"/>
              </w:rPr>
              <w:t>a 2015</w:t>
            </w:r>
          </w:p>
        </w:tc>
      </w:tr>
    </w:tbl>
    <w:p w:rsidR="002B1107" w:rsidRPr="002B1107" w:rsidRDefault="002B1107" w:rsidP="00C81C26">
      <w:pPr>
        <w:pStyle w:val="Texto"/>
        <w:spacing w:line="209" w:lineRule="exact"/>
        <w:rPr>
          <w:szCs w:val="18"/>
        </w:rPr>
      </w:pPr>
    </w:p>
    <w:p w:rsidR="002B1107" w:rsidRPr="002732D0" w:rsidRDefault="002B1107" w:rsidP="00C81C26">
      <w:pPr>
        <w:pStyle w:val="Texto"/>
        <w:spacing w:line="209" w:lineRule="exact"/>
        <w:rPr>
          <w:szCs w:val="18"/>
        </w:rPr>
      </w:pPr>
      <w:r w:rsidRPr="002732D0">
        <w:rPr>
          <w:b/>
          <w:szCs w:val="18"/>
          <w:u w:val="single"/>
        </w:rPr>
        <w:t>En lo que respecta a realizar los registros contables con base en las Reglas de Registro y Valoración del Patrimonio, se señala lo siguiente</w:t>
      </w:r>
      <w:r w:rsidRPr="002732D0">
        <w:rPr>
          <w:szCs w:val="18"/>
        </w:rPr>
        <w:t>:</w:t>
      </w:r>
    </w:p>
    <w:p w:rsidR="002B1107" w:rsidRPr="002B1107" w:rsidRDefault="002B1107" w:rsidP="00C81C26">
      <w:pPr>
        <w:pStyle w:val="Texto"/>
        <w:spacing w:line="209" w:lineRule="exact"/>
        <w:rPr>
          <w:szCs w:val="18"/>
        </w:rPr>
      </w:pPr>
      <w:r w:rsidRPr="002B1107">
        <w:rPr>
          <w:szCs w:val="18"/>
        </w:rPr>
        <w:t xml:space="preserve">En el artículo 27 de la LGCG se establecen tres obligaciones a los entes públicos en materia de registro </w:t>
      </w:r>
      <w:proofErr w:type="gramStart"/>
      <w:r w:rsidRPr="002B1107">
        <w:rPr>
          <w:szCs w:val="18"/>
        </w:rPr>
        <w:t>patrimonial</w:t>
      </w:r>
      <w:proofErr w:type="gramEnd"/>
      <w:r w:rsidRPr="002B1107">
        <w:rPr>
          <w:szCs w:val="18"/>
        </w:rPr>
        <w:t>:</w:t>
      </w:r>
    </w:p>
    <w:p w:rsidR="002B1107" w:rsidRPr="002B1107" w:rsidRDefault="002B1107" w:rsidP="00C81C26">
      <w:pPr>
        <w:pStyle w:val="ROMANOS"/>
        <w:spacing w:line="209" w:lineRule="exact"/>
      </w:pPr>
      <w:r w:rsidRPr="002B1107">
        <w:t>1.</w:t>
      </w:r>
      <w:r w:rsidRPr="002B1107">
        <w:tab/>
        <w:t>Llevar a cabo el levantamiento físico del inventario de los bienes a que se refiere el artículo 23</w:t>
      </w:r>
      <w:r w:rsidR="00A85EC2">
        <w:t xml:space="preserve"> </w:t>
      </w:r>
      <w:r w:rsidRPr="002B1107">
        <w:t>de la Ley,</w:t>
      </w:r>
    </w:p>
    <w:p w:rsidR="002B1107" w:rsidRPr="002B1107" w:rsidRDefault="002B1107" w:rsidP="00C81C26">
      <w:pPr>
        <w:pStyle w:val="ROMANOS"/>
        <w:spacing w:line="209" w:lineRule="exact"/>
      </w:pPr>
      <w:r w:rsidRPr="002B1107">
        <w:t>2.</w:t>
      </w:r>
      <w:r w:rsidRPr="002B1107">
        <w:tab/>
        <w:t>Que el inventario esté debidamente conciliado con el registro contable,</w:t>
      </w:r>
    </w:p>
    <w:p w:rsidR="002B1107" w:rsidRPr="002B1107" w:rsidRDefault="002B1107" w:rsidP="00C81C26">
      <w:pPr>
        <w:pStyle w:val="ROMANOS"/>
        <w:spacing w:line="209" w:lineRule="exact"/>
      </w:pPr>
      <w:r w:rsidRPr="002B1107">
        <w:t>3.</w:t>
      </w:r>
      <w:r w:rsidRPr="002B1107">
        <w:tab/>
        <w:t>Que en el caso de los bienes inmuebles, no se establezca un valor inferior al catastral que</w:t>
      </w:r>
      <w:r w:rsidR="00A85EC2">
        <w:t xml:space="preserve"> </w:t>
      </w:r>
      <w:r w:rsidRPr="002B1107">
        <w:t>le corresponda.</w:t>
      </w:r>
    </w:p>
    <w:p w:rsidR="002B1107" w:rsidRPr="002B1107" w:rsidRDefault="002B1107" w:rsidP="00C81C26">
      <w:pPr>
        <w:pStyle w:val="Texto"/>
        <w:spacing w:line="209" w:lineRule="exact"/>
        <w:rPr>
          <w:szCs w:val="18"/>
        </w:rPr>
      </w:pPr>
      <w:r w:rsidRPr="002B1107">
        <w:rPr>
          <w:szCs w:val="18"/>
        </w:rPr>
        <w:t>De las tres obligaciones antes señaladas, el resultado del diagnóstico muestra que los entes públicos se encuentran llevando a cabo el levantamiento físico del inventario de los bienes a que se refiere el artículo 23 de la Ley, razón por la cual para la obligación descrita en el punto 1 antes señalado, no es aplicable la nueva determinación de los plazos a los que se refiere el Acuerdo 1 del CONAC y en consecuencia los entes públicos deben llevar a cabo dicho levantamiento físico del inventario de los bienes.</w:t>
      </w:r>
    </w:p>
    <w:p w:rsidR="002B1107" w:rsidRPr="002B1107" w:rsidRDefault="002B1107" w:rsidP="00C81C26">
      <w:pPr>
        <w:pStyle w:val="Texto"/>
        <w:spacing w:line="209" w:lineRule="exact"/>
        <w:rPr>
          <w:szCs w:val="18"/>
        </w:rPr>
      </w:pPr>
      <w:r w:rsidRPr="002B1107">
        <w:rPr>
          <w:szCs w:val="18"/>
        </w:rPr>
        <w:t>Respecto a que el inventario esté debidamente conciliado con el registro contable y que los bienes inmuebles no deben de contar con un valor inferior al catastral, el diagnóstico referido muestra que los entes públicos, en términos generales, aún no concluyen esos procesos, razón por la cual se precisa que sólo para los puntos 2 y 3 antes señalados les es aplicable la determinación de plazos señalados en al Acuerdo 1 aprobado por el CONAC.</w:t>
      </w:r>
    </w:p>
    <w:p w:rsidR="002B1107" w:rsidRPr="002732D0" w:rsidRDefault="002B1107" w:rsidP="00C81C26">
      <w:pPr>
        <w:pStyle w:val="Texto"/>
        <w:spacing w:line="209" w:lineRule="exact"/>
        <w:rPr>
          <w:b/>
          <w:szCs w:val="18"/>
          <w:u w:val="single"/>
        </w:rPr>
      </w:pPr>
      <w:r w:rsidRPr="002732D0">
        <w:rPr>
          <w:b/>
          <w:szCs w:val="18"/>
          <w:u w:val="single"/>
        </w:rPr>
        <w:t>Respecto a la generación en tiempo real de estados financieros, se señala lo siguiente:</w:t>
      </w:r>
    </w:p>
    <w:p w:rsidR="002B1107" w:rsidRPr="002B1107" w:rsidRDefault="002B1107" w:rsidP="00C81C26">
      <w:pPr>
        <w:pStyle w:val="Texto"/>
        <w:spacing w:line="209" w:lineRule="exact"/>
        <w:rPr>
          <w:szCs w:val="18"/>
        </w:rPr>
      </w:pPr>
      <w:r w:rsidRPr="002B1107">
        <w:rPr>
          <w:szCs w:val="18"/>
        </w:rPr>
        <w:lastRenderedPageBreak/>
        <w:t>La LGCG en el artículo 16 determina que “El sistema, al que deberán sujetarse los entes públicos, registrará de manera armónica, delimitada y específica las operaciones presupuestarias y contables derivadas de la gestión pública, así como otros flujos económicos. Asimismo, generará estados financieros, confiables, oportunos, comprensibles, periódicos y comparables, los cuales serán expresados en términos monetarios.”, de la lectura de este artículo se desprende que una obligación es el registro de las operaciones presupuestarias y contables y otra lo es la generación de estados financieros periódicos.</w:t>
      </w:r>
    </w:p>
    <w:p w:rsidR="002B1107" w:rsidRPr="002B1107" w:rsidRDefault="002B1107" w:rsidP="00C81C26">
      <w:pPr>
        <w:pStyle w:val="Texto"/>
        <w:spacing w:line="209" w:lineRule="exact"/>
        <w:rPr>
          <w:szCs w:val="18"/>
        </w:rPr>
      </w:pPr>
      <w:r w:rsidRPr="002B1107">
        <w:rPr>
          <w:szCs w:val="18"/>
        </w:rPr>
        <w:t>Así mismo, en el artículo 40 establece que “Los procesos administrativos de los entes públicos que impliquen transacciones presupuestarias y contables generarán el registro automático y por única vez de las mismas en los momentos contables correspondientes”.</w:t>
      </w:r>
    </w:p>
    <w:p w:rsidR="002B1107" w:rsidRDefault="002B1107" w:rsidP="00C81C26">
      <w:pPr>
        <w:pStyle w:val="Texto"/>
        <w:spacing w:line="209" w:lineRule="exact"/>
        <w:rPr>
          <w:szCs w:val="18"/>
        </w:rPr>
      </w:pPr>
      <w:r w:rsidRPr="002B1107">
        <w:rPr>
          <w:szCs w:val="18"/>
        </w:rPr>
        <w:t>Concordante con los artículos 16 y 40 de la LGCG se distinguen dos obligaciones: la generación de estados financieros en forma periódica y que la operación de los procesos administrativos deben generar un registro automático y por única vez, es decir en tiempo real.</w:t>
      </w:r>
    </w:p>
    <w:p w:rsidR="002B1107" w:rsidRPr="002B1107" w:rsidRDefault="002B1107" w:rsidP="00C81C26">
      <w:pPr>
        <w:pStyle w:val="Texto"/>
        <w:spacing w:line="209" w:lineRule="exact"/>
        <w:rPr>
          <w:szCs w:val="18"/>
        </w:rPr>
      </w:pPr>
      <w:r w:rsidRPr="002B1107">
        <w:rPr>
          <w:szCs w:val="18"/>
        </w:rPr>
        <w:t>En los artículos 46, 47 y 48 de la LGCG se señala que los sistemas de la Federación, las entidades federativas, municipios y de sus respectivos entes públicos permitirán la generación periódica de los estados e información financiera.</w:t>
      </w:r>
    </w:p>
    <w:p w:rsidR="002B1107" w:rsidRPr="002B1107" w:rsidRDefault="002B1107" w:rsidP="00C81C26">
      <w:pPr>
        <w:pStyle w:val="Texto"/>
        <w:spacing w:line="209" w:lineRule="exact"/>
        <w:rPr>
          <w:szCs w:val="18"/>
        </w:rPr>
      </w:pPr>
      <w:r w:rsidRPr="002B1107">
        <w:rPr>
          <w:szCs w:val="18"/>
        </w:rPr>
        <w:t>Es decir, nuevamente se puede apreciar que la LGCG establece que la información antes señalada se debe presentar en forma periódica, ello es así, en razón a los diversos registros que se tienen que hacer posteriores a la conclusión de un periodo (mes, trimestre, año, etc.), por lo cual se deben realizar estos registros para conocer puntualmente la situación financiera que guardan los entes públicos.</w:t>
      </w:r>
    </w:p>
    <w:p w:rsidR="002B1107" w:rsidRPr="002B1107" w:rsidRDefault="002B1107" w:rsidP="00C81C26">
      <w:pPr>
        <w:pStyle w:val="Texto"/>
        <w:spacing w:line="209" w:lineRule="exact"/>
        <w:rPr>
          <w:szCs w:val="18"/>
        </w:rPr>
      </w:pPr>
      <w:r w:rsidRPr="002B1107">
        <w:rPr>
          <w:szCs w:val="18"/>
        </w:rPr>
        <w:t>Los procesos administrativos de los entes públicos son los que deben operar en tiempo real, es decir que deben generar transacciones presupuestarias y contables de forma automática y por única vez. Estos procesos administrativos o subsistemas que operan en tiempo real son los que permitirán la emisión periódica (mes, trimestre, anual, etc.) de los estados financieros.</w:t>
      </w:r>
    </w:p>
    <w:p w:rsidR="002B1107" w:rsidRPr="002732D0" w:rsidRDefault="002B1107" w:rsidP="00C81C26">
      <w:pPr>
        <w:pStyle w:val="Texto"/>
        <w:spacing w:line="209" w:lineRule="exact"/>
        <w:rPr>
          <w:b/>
          <w:szCs w:val="18"/>
          <w:u w:val="single"/>
        </w:rPr>
      </w:pPr>
      <w:r w:rsidRPr="002732D0">
        <w:rPr>
          <w:b/>
          <w:szCs w:val="18"/>
          <w:u w:val="single"/>
        </w:rPr>
        <w:t>Por lo que se refiere a la emisión de Cuentas Públicas en los términos acordados por el Consejo, se señala lo siguiente:</w:t>
      </w:r>
    </w:p>
    <w:p w:rsidR="002B1107" w:rsidRPr="002B1107" w:rsidRDefault="002B1107" w:rsidP="00C81C26">
      <w:pPr>
        <w:pStyle w:val="Texto"/>
        <w:spacing w:line="209" w:lineRule="exact"/>
        <w:rPr>
          <w:szCs w:val="18"/>
        </w:rPr>
      </w:pPr>
      <w:r w:rsidRPr="002B1107">
        <w:rPr>
          <w:szCs w:val="18"/>
        </w:rPr>
        <w:t>En el artículo 53 de la LGCG se establece los requisitos mínimos que deben integrar la cuenta pública del Gobierno Federal y las entidades federativas:</w:t>
      </w:r>
    </w:p>
    <w:p w:rsidR="002B1107" w:rsidRPr="002B1107" w:rsidRDefault="002B1107" w:rsidP="00C81C26">
      <w:pPr>
        <w:pStyle w:val="ROMANOS"/>
        <w:spacing w:line="209" w:lineRule="exact"/>
      </w:pPr>
      <w:r w:rsidRPr="002B1107">
        <w:t>I.</w:t>
      </w:r>
      <w:r w:rsidRPr="002B1107">
        <w:tab/>
        <w:t>Información contable, conforme a lo señalado en la fracción I del artículo 46 de esta Ley;</w:t>
      </w:r>
    </w:p>
    <w:p w:rsidR="002B1107" w:rsidRPr="002B1107" w:rsidRDefault="002B1107" w:rsidP="00C81C26">
      <w:pPr>
        <w:pStyle w:val="ROMANOS"/>
        <w:spacing w:line="209" w:lineRule="exact"/>
      </w:pPr>
      <w:r w:rsidRPr="002B1107">
        <w:t>II.</w:t>
      </w:r>
      <w:r w:rsidRPr="002B1107">
        <w:tab/>
        <w:t>Información Presupuestaria, conforme a lo señalado en la fracción II del artículo 46 de esta Ley;</w:t>
      </w:r>
    </w:p>
    <w:p w:rsidR="002B1107" w:rsidRPr="002B1107" w:rsidRDefault="002B1107" w:rsidP="00C81C26">
      <w:pPr>
        <w:pStyle w:val="ROMANOS"/>
        <w:spacing w:line="211" w:lineRule="exact"/>
      </w:pPr>
      <w:r w:rsidRPr="002B1107">
        <w:t>III.</w:t>
      </w:r>
      <w:r w:rsidRPr="002B1107">
        <w:tab/>
        <w:t>Información programática, de acuerdo con la clasificación establecida en la fracción III del artículo 46 de esta Ley;</w:t>
      </w:r>
    </w:p>
    <w:p w:rsidR="002B1107" w:rsidRPr="002B1107" w:rsidRDefault="002B1107" w:rsidP="00C81C26">
      <w:pPr>
        <w:pStyle w:val="ROMANOS"/>
        <w:spacing w:line="211" w:lineRule="exact"/>
      </w:pPr>
      <w:r w:rsidRPr="002B1107">
        <w:t>IV.</w:t>
      </w:r>
      <w:r w:rsidRPr="002B1107">
        <w:tab/>
        <w:t>Análisis cualitativo de los indicadores de la postura fiscal, estableciendo su vínculo con los objetivos y prioridades definidas en la materia, en el programa económico anual.</w:t>
      </w:r>
    </w:p>
    <w:p w:rsidR="002B1107" w:rsidRPr="002B1107" w:rsidRDefault="002B1107" w:rsidP="00C81C26">
      <w:pPr>
        <w:pStyle w:val="ROMANOS"/>
        <w:spacing w:line="211" w:lineRule="exact"/>
      </w:pPr>
      <w:r w:rsidRPr="002B1107">
        <w:t>V.</w:t>
      </w:r>
      <w:r w:rsidRPr="002B1107">
        <w:tab/>
        <w:t>La información a que se refieren las fracciones I a III de este artículo, organizada por dependencia</w:t>
      </w:r>
      <w:r w:rsidR="00A85EC2">
        <w:t xml:space="preserve"> </w:t>
      </w:r>
      <w:r w:rsidRPr="002B1107">
        <w:t>y entidad.</w:t>
      </w:r>
    </w:p>
    <w:p w:rsidR="002B1107" w:rsidRPr="002B1107" w:rsidRDefault="002B1107" w:rsidP="00C81C26">
      <w:pPr>
        <w:pStyle w:val="Texto"/>
        <w:spacing w:line="211" w:lineRule="exact"/>
        <w:rPr>
          <w:szCs w:val="18"/>
        </w:rPr>
      </w:pPr>
      <w:r w:rsidRPr="002B1107">
        <w:rPr>
          <w:szCs w:val="18"/>
        </w:rPr>
        <w:t xml:space="preserve">De las obligaciones antes señaladas, el resultado del diagnóstico muestra que los entes públicos se encuentran en proceso de integrar la cuenta pública en los términos antes señalados, razón por la cual para la obligaciones descritas a las fracciones I y II antes señalados, no es aplicable la nueva determinación de los plazos a los que se refiere el Acuerdo 1 del CONAC y en consecuencia los entes públicos deben presentar al menos en su cuenta pública esta información, salvo en lo concerniente a la clasificación programática a que hace referencia el artículo 46, fracción II, inciso b), </w:t>
      </w:r>
      <w:proofErr w:type="spellStart"/>
      <w:r w:rsidRPr="002B1107">
        <w:rPr>
          <w:szCs w:val="18"/>
        </w:rPr>
        <w:t>subinciso</w:t>
      </w:r>
      <w:proofErr w:type="spellEnd"/>
      <w:r w:rsidRPr="002B1107">
        <w:rPr>
          <w:szCs w:val="18"/>
        </w:rPr>
        <w:t xml:space="preserve"> iii de la LGCG, el cual está sujeto a la determinación de los plazos del Acuerdo 1 de CONAC, esto es incluirse en la cuenta pública de 2014.</w:t>
      </w:r>
    </w:p>
    <w:p w:rsidR="002B1107" w:rsidRPr="002B1107" w:rsidRDefault="002B1107" w:rsidP="00C81C26">
      <w:pPr>
        <w:pStyle w:val="Texto"/>
        <w:spacing w:line="211" w:lineRule="exact"/>
        <w:rPr>
          <w:szCs w:val="18"/>
        </w:rPr>
      </w:pPr>
      <w:r w:rsidRPr="002B1107">
        <w:rPr>
          <w:szCs w:val="18"/>
        </w:rPr>
        <w:t>Por lo que se refiere a las fracciones III y IV les es aplicable la determinación de los plazos del Acuerdo 1 del CONAC, esto es incluirse en la cuenta pública de 2014. Para lo referente a la fracción V sólo le será aplicable la determinación de los plazos antes señalados por cuanto a la fracción III, esto es incluirse en la cuenta pública de 2014.</w:t>
      </w:r>
    </w:p>
    <w:p w:rsidR="002B1107" w:rsidRPr="002B1107" w:rsidRDefault="002B1107" w:rsidP="00C81C26">
      <w:pPr>
        <w:pStyle w:val="Texto"/>
        <w:spacing w:line="211" w:lineRule="exact"/>
        <w:rPr>
          <w:szCs w:val="18"/>
        </w:rPr>
      </w:pPr>
      <w:r w:rsidRPr="002B1107">
        <w:rPr>
          <w:szCs w:val="18"/>
        </w:rPr>
        <w:t xml:space="preserve">Por su parte el artículo 55 de la LGCG prevé que las cuentas públicas de los municipios deberán contener como mínimo la información contable y presupuestaria a que se refiere el artículo 48 de la Ley, en correlación con el artículo 46 de la misma. Por lo expuesto en párrafos anteriores, las cuentas públicas de los municipios y sus entes públicos deberá contener como mínimo la información contable y presupuestaria que hace referencia el artículo 48, salvo en lo concerniente a la clasificación programática a que hace referencia el artículo 46, fracción II, inciso b), </w:t>
      </w:r>
      <w:proofErr w:type="spellStart"/>
      <w:r w:rsidRPr="002B1107">
        <w:rPr>
          <w:szCs w:val="18"/>
        </w:rPr>
        <w:t>subinciso</w:t>
      </w:r>
      <w:proofErr w:type="spellEnd"/>
      <w:r w:rsidRPr="002B1107">
        <w:rPr>
          <w:szCs w:val="18"/>
        </w:rPr>
        <w:t xml:space="preserve"> iii de la LGCG, el cual está sujeto a la determinación de los plazos del Acuerdo 1 de CONAC, esto es incluirse en la cuenta pública de 2015.</w:t>
      </w:r>
    </w:p>
    <w:p w:rsidR="002B1107" w:rsidRDefault="002B1107" w:rsidP="00C81C26">
      <w:pPr>
        <w:pStyle w:val="Texto"/>
        <w:spacing w:line="211" w:lineRule="exact"/>
        <w:rPr>
          <w:szCs w:val="18"/>
        </w:rPr>
      </w:pPr>
      <w:r w:rsidRPr="002B1107">
        <w:rPr>
          <w:szCs w:val="18"/>
        </w:rPr>
        <w:t xml:space="preserve">Por lo que se refiere a los municipios menores de veinticinco mil habitantes deberán incluir como mínimo a más tardar en la Cuenta Pública de 2015 lo establecido en el manual de contabilidad gubernamental del sistema simplificado básico (SSB) para los municipios con menos de cinco mil habitantes y en el manual de </w:t>
      </w:r>
      <w:r w:rsidRPr="002B1107">
        <w:rPr>
          <w:szCs w:val="18"/>
        </w:rPr>
        <w:lastRenderedPageBreak/>
        <w:t>contabilidad gubernamental del sistema simplificado general (SSG) para los municipios de cinco mil a menos de veinticinco mil habitantes.</w:t>
      </w:r>
    </w:p>
    <w:p w:rsidR="002B1107" w:rsidRDefault="002B1107" w:rsidP="00C81C26">
      <w:pPr>
        <w:pStyle w:val="ANOTACION"/>
        <w:spacing w:line="211" w:lineRule="exact"/>
      </w:pPr>
      <w:r w:rsidRPr="002B1107">
        <w:t>TRANSITORIOS</w:t>
      </w:r>
    </w:p>
    <w:p w:rsidR="002B1107" w:rsidRDefault="002B1107" w:rsidP="00C81C26">
      <w:pPr>
        <w:pStyle w:val="Texto"/>
        <w:spacing w:line="211" w:lineRule="exact"/>
        <w:rPr>
          <w:szCs w:val="18"/>
        </w:rPr>
      </w:pPr>
      <w:r w:rsidRPr="002B1107">
        <w:rPr>
          <w:szCs w:val="18"/>
        </w:rPr>
        <w:t>PRIMERO.- La presente Norma entrará en vigor al día siguiente al de su p</w:t>
      </w:r>
      <w:r w:rsidR="0027532B">
        <w:rPr>
          <w:szCs w:val="18"/>
        </w:rPr>
        <w:t>ublicación en el Diario Oficial</w:t>
      </w:r>
      <w:r w:rsidR="00A85EC2">
        <w:rPr>
          <w:szCs w:val="18"/>
        </w:rPr>
        <w:t xml:space="preserve"> </w:t>
      </w:r>
      <w:r w:rsidRPr="002B1107">
        <w:rPr>
          <w:szCs w:val="18"/>
        </w:rPr>
        <w:t>de la Federación.</w:t>
      </w:r>
    </w:p>
    <w:p w:rsidR="002B1107" w:rsidRDefault="002B1107" w:rsidP="00C81C26">
      <w:pPr>
        <w:pStyle w:val="Texto"/>
        <w:spacing w:line="211" w:lineRule="exact"/>
        <w:rPr>
          <w:szCs w:val="18"/>
        </w:rPr>
      </w:pPr>
      <w:r w:rsidRPr="002B1107">
        <w:rPr>
          <w:szCs w:val="18"/>
        </w:rPr>
        <w:t xml:space="preserve">SEGUNDO.- En cumplimiento a lo dispuesto por el artículo 7, segundo párrafo de la Ley General de Contabilidad Gubernamental, la presente Norma deberá ser publicada en los medios oficiales de difusión escritos y electrónicos de las entidades federativas, municipios y </w:t>
      </w:r>
      <w:r w:rsidR="002732D0">
        <w:rPr>
          <w:szCs w:val="18"/>
        </w:rPr>
        <w:t>demarcaciones territoriales del</w:t>
      </w:r>
      <w:r w:rsidR="00A85EC2">
        <w:rPr>
          <w:szCs w:val="18"/>
        </w:rPr>
        <w:t xml:space="preserve"> </w:t>
      </w:r>
      <w:r w:rsidRPr="002B1107">
        <w:rPr>
          <w:szCs w:val="18"/>
        </w:rPr>
        <w:t>Distrito Federal.</w:t>
      </w:r>
    </w:p>
    <w:p w:rsidR="002B1107" w:rsidRDefault="002B1107" w:rsidP="00C81C26">
      <w:pPr>
        <w:pStyle w:val="Texto"/>
        <w:spacing w:line="211" w:lineRule="exact"/>
        <w:rPr>
          <w:szCs w:val="18"/>
        </w:rPr>
      </w:pPr>
      <w:r w:rsidRPr="002B1107">
        <w:rPr>
          <w:szCs w:val="18"/>
        </w:rPr>
        <w:t>TERCERO.-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 la presente Norma.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 Los municipios sujetos del presente lineamiento podrán enviar la información antes referida por correo ordinario.</w:t>
      </w:r>
    </w:p>
    <w:p w:rsidR="00C81C26" w:rsidRDefault="002B1107" w:rsidP="00C81C26">
      <w:pPr>
        <w:pStyle w:val="Texto"/>
        <w:spacing w:line="211" w:lineRule="exact"/>
      </w:pPr>
      <w:r w:rsidRPr="002B1107">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2732D0">
        <w:t>HAGO CONSTAR Y CERTIFICO</w:t>
      </w:r>
      <w:r w:rsidRPr="002B1107">
        <w:t xml:space="preserve"> que el documento consistente en 2 fojas útiles, impresas por anverso y reverso, rubricadas y cotejadas, denominado Acuerdo por el que se determina la norma de información financiera para precisar los alcances del Acuerdo 1 aprobado por el Consejo Nacional de Armonización Contable, en reunión del 3 de mayo de 2013 y publicado en el Diario Oficial de la Federación</w:t>
      </w:r>
      <w:r w:rsidR="00E57D61">
        <w:t xml:space="preserve"> </w:t>
      </w:r>
      <w:r w:rsidRPr="002B1107">
        <w:t xml:space="preserve">el 16 de mayo de 2013, corresponde con el texto aprobado por el Consejo Nacional de Armonización Contable, mismo que estuvo a la vista de los integrantes de dicho Consejo en su tercera reunión celebrada, en segunda convocatoria, el 19 de julio del presente año, situación que se certifica para los efectos legales conducentes. </w:t>
      </w:r>
      <w:r w:rsidR="00C81C26">
        <w:t xml:space="preserve">El </w:t>
      </w:r>
      <w:r w:rsidR="00C81C26" w:rsidRPr="002B1107">
        <w:t>Secretario Técnico</w:t>
      </w:r>
      <w:r w:rsidR="00C81C26">
        <w:t xml:space="preserve"> </w:t>
      </w:r>
      <w:r w:rsidR="00C81C26" w:rsidRPr="002B1107">
        <w:t>del Consejo Nacional de Armonización Contable</w:t>
      </w:r>
      <w:r w:rsidR="00C81C26">
        <w:t xml:space="preserve">, </w:t>
      </w:r>
      <w:r w:rsidR="00C81C26" w:rsidRPr="002B1107">
        <w:rPr>
          <w:b/>
        </w:rPr>
        <w:t>Juan Manuel Alcocer Gamba</w:t>
      </w:r>
      <w:r w:rsidR="00C81C26">
        <w:t>.- Rúbrica.</w:t>
      </w:r>
    </w:p>
    <w:sectPr w:rsidR="00C81C26" w:rsidSect="00937C80">
      <w:headerReference w:type="even" r:id="rId7"/>
      <w:headerReference w:type="default" r:id="rId8"/>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C89" w:rsidRDefault="000F2C89">
      <w:r>
        <w:separator/>
      </w:r>
    </w:p>
  </w:endnote>
  <w:endnote w:type="continuationSeparator" w:id="0">
    <w:p w:rsidR="000F2C89" w:rsidRDefault="000F2C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C89" w:rsidRDefault="000F2C89">
      <w:r>
        <w:separator/>
      </w:r>
    </w:p>
  </w:footnote>
  <w:footnote w:type="continuationSeparator" w:id="0">
    <w:p w:rsidR="000F2C89" w:rsidRDefault="000F2C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r>
    <w:proofErr w:type="gramStart"/>
    <w:r w:rsidR="0027532B" w:rsidRPr="00A85EC2">
      <w:rPr>
        <w:rFonts w:cs="Times New Roman"/>
      </w:rPr>
      <w:t>Jueves</w:t>
    </w:r>
    <w:proofErr w:type="gramEnd"/>
    <w:r w:rsidR="0027532B" w:rsidRPr="00A85EC2">
      <w:rPr>
        <w:rFonts w:cs="Times New Roman"/>
      </w:rPr>
      <w:t xml:space="preserve">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45D62"/>
    <w:rsid w:val="0005629F"/>
    <w:rsid w:val="00085CFF"/>
    <w:rsid w:val="000934C4"/>
    <w:rsid w:val="000B42E5"/>
    <w:rsid w:val="000C50D4"/>
    <w:rsid w:val="000F0FA3"/>
    <w:rsid w:val="000F1EFF"/>
    <w:rsid w:val="000F2C89"/>
    <w:rsid w:val="000F706A"/>
    <w:rsid w:val="00100794"/>
    <w:rsid w:val="00104C31"/>
    <w:rsid w:val="0010703B"/>
    <w:rsid w:val="001303A7"/>
    <w:rsid w:val="00140A5C"/>
    <w:rsid w:val="00155A7E"/>
    <w:rsid w:val="001574EC"/>
    <w:rsid w:val="001642EF"/>
    <w:rsid w:val="00176B02"/>
    <w:rsid w:val="001944A2"/>
    <w:rsid w:val="001A20DA"/>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E0094"/>
    <w:rsid w:val="002E58BE"/>
    <w:rsid w:val="002F6279"/>
    <w:rsid w:val="002F666A"/>
    <w:rsid w:val="0030321A"/>
    <w:rsid w:val="00323864"/>
    <w:rsid w:val="0032394E"/>
    <w:rsid w:val="00326B04"/>
    <w:rsid w:val="00330780"/>
    <w:rsid w:val="00330E82"/>
    <w:rsid w:val="003340A4"/>
    <w:rsid w:val="00357A6B"/>
    <w:rsid w:val="0036410B"/>
    <w:rsid w:val="003656C6"/>
    <w:rsid w:val="00373DFE"/>
    <w:rsid w:val="0039202C"/>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C4019"/>
    <w:rsid w:val="005C75DE"/>
    <w:rsid w:val="005D7D14"/>
    <w:rsid w:val="00610299"/>
    <w:rsid w:val="006231E1"/>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9567A"/>
    <w:rsid w:val="00797AB4"/>
    <w:rsid w:val="007A0956"/>
    <w:rsid w:val="007C1352"/>
    <w:rsid w:val="007D00B8"/>
    <w:rsid w:val="007D286A"/>
    <w:rsid w:val="007D4C4F"/>
    <w:rsid w:val="00822721"/>
    <w:rsid w:val="00827CE1"/>
    <w:rsid w:val="0083080F"/>
    <w:rsid w:val="008371DC"/>
    <w:rsid w:val="008651ED"/>
    <w:rsid w:val="00875A59"/>
    <w:rsid w:val="00876C7C"/>
    <w:rsid w:val="0089558E"/>
    <w:rsid w:val="008A23F3"/>
    <w:rsid w:val="008B5BD2"/>
    <w:rsid w:val="008D17A5"/>
    <w:rsid w:val="008E35DF"/>
    <w:rsid w:val="008F7A18"/>
    <w:rsid w:val="00913D77"/>
    <w:rsid w:val="00915467"/>
    <w:rsid w:val="009167A0"/>
    <w:rsid w:val="009200A2"/>
    <w:rsid w:val="00920E53"/>
    <w:rsid w:val="009302F0"/>
    <w:rsid w:val="009329FB"/>
    <w:rsid w:val="00937C80"/>
    <w:rsid w:val="00945F33"/>
    <w:rsid w:val="00950369"/>
    <w:rsid w:val="009514B2"/>
    <w:rsid w:val="009648A6"/>
    <w:rsid w:val="009932CA"/>
    <w:rsid w:val="009A1B40"/>
    <w:rsid w:val="009A7654"/>
    <w:rsid w:val="009C02DA"/>
    <w:rsid w:val="009E1AC6"/>
    <w:rsid w:val="009E3B35"/>
    <w:rsid w:val="009E63EA"/>
    <w:rsid w:val="009F050F"/>
    <w:rsid w:val="009F2409"/>
    <w:rsid w:val="00A01A51"/>
    <w:rsid w:val="00A211EE"/>
    <w:rsid w:val="00A31E9B"/>
    <w:rsid w:val="00A333DC"/>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3769E"/>
    <w:rsid w:val="00B46F51"/>
    <w:rsid w:val="00B63531"/>
    <w:rsid w:val="00B7008A"/>
    <w:rsid w:val="00B717B3"/>
    <w:rsid w:val="00B85525"/>
    <w:rsid w:val="00B92B1F"/>
    <w:rsid w:val="00BC1453"/>
    <w:rsid w:val="00BF091C"/>
    <w:rsid w:val="00C01B5D"/>
    <w:rsid w:val="00C258E4"/>
    <w:rsid w:val="00C50EFE"/>
    <w:rsid w:val="00C615F1"/>
    <w:rsid w:val="00C81C26"/>
    <w:rsid w:val="00C9060E"/>
    <w:rsid w:val="00C92A4F"/>
    <w:rsid w:val="00C96371"/>
    <w:rsid w:val="00C96FD6"/>
    <w:rsid w:val="00CA2FDC"/>
    <w:rsid w:val="00CA3BBA"/>
    <w:rsid w:val="00CC0602"/>
    <w:rsid w:val="00CC39A6"/>
    <w:rsid w:val="00CC71C5"/>
    <w:rsid w:val="00CD6850"/>
    <w:rsid w:val="00CF24C4"/>
    <w:rsid w:val="00CF3026"/>
    <w:rsid w:val="00CF6193"/>
    <w:rsid w:val="00D046E9"/>
    <w:rsid w:val="00D04785"/>
    <w:rsid w:val="00D32C7D"/>
    <w:rsid w:val="00D34588"/>
    <w:rsid w:val="00D42FD2"/>
    <w:rsid w:val="00D54C2F"/>
    <w:rsid w:val="00D60467"/>
    <w:rsid w:val="00D64953"/>
    <w:rsid w:val="00D87572"/>
    <w:rsid w:val="00D87A00"/>
    <w:rsid w:val="00DE4C7A"/>
    <w:rsid w:val="00DF6036"/>
    <w:rsid w:val="00DF6BC3"/>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A5286"/>
    <w:rsid w:val="00EB3C2A"/>
    <w:rsid w:val="00ED6A97"/>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3</Pages>
  <Words>1798</Words>
  <Characters>9894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11669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2013-10-05T02:03:00Z</dcterms:created>
  <dcterms:modified xsi:type="dcterms:W3CDTF">2013-10-05T02:03:00Z</dcterms:modified>
</cp:coreProperties>
</file>