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9D2" w:rsidRDefault="00B71822" w:rsidP="008A29D2">
      <w:pPr>
        <w:pStyle w:val="Titulo1"/>
      </w:pPr>
      <w:r>
        <w:t xml:space="preserve">Términos </w:t>
      </w:r>
      <w:r w:rsidR="008A29D2">
        <w:t>y condiciones para la distribución del fondo previsto en el Presupuesto de Egresos de la Federación para el ejercicio fiscal 2014, para el otorgamiento de subsidios a las entidades federativas y a los municipios para la capacitación y profesionalización, así como para la modernización de tecnologías de la información y comunicaciones.</w:t>
      </w:r>
    </w:p>
    <w:p w:rsidR="008A29D2" w:rsidRDefault="008A29D2" w:rsidP="004D734B">
      <w:pPr>
        <w:pStyle w:val="Texto"/>
        <w:rPr>
          <w:b/>
        </w:rPr>
      </w:pPr>
    </w:p>
    <w:p w:rsidR="008A29D2" w:rsidRPr="00CB0539" w:rsidRDefault="008A29D2" w:rsidP="007A6854">
      <w:pPr>
        <w:pStyle w:val="Texto"/>
        <w:spacing w:line="270" w:lineRule="exact"/>
      </w:pPr>
      <w:r w:rsidRPr="00CB0539">
        <w:t>El Consejo Nacional de Armonización Contable con fundamento en el artículo 9 de la Ley General de Contabilidad Gubernamental, aprobó los siguientes:</w:t>
      </w:r>
    </w:p>
    <w:p w:rsidR="004D734B" w:rsidRPr="008A29D2" w:rsidRDefault="004D734B" w:rsidP="007A6854">
      <w:pPr>
        <w:pStyle w:val="Texto"/>
        <w:spacing w:line="270" w:lineRule="exact"/>
        <w:ind w:firstLine="0"/>
        <w:jc w:val="center"/>
        <w:rPr>
          <w:b/>
          <w:sz w:val="16"/>
        </w:rPr>
      </w:pPr>
      <w:r w:rsidRPr="008A29D2">
        <w:rPr>
          <w:b/>
          <w:sz w:val="16"/>
        </w:rPr>
        <w:t>TÉRMINOS Y CONDICIONES PARA LA DISTRIBUCIÓN DEL FONDO PREVISTO</w:t>
      </w:r>
      <w:r w:rsidR="008E2053">
        <w:rPr>
          <w:b/>
          <w:sz w:val="16"/>
        </w:rPr>
        <w:t xml:space="preserve"> </w:t>
      </w:r>
      <w:r w:rsidRPr="008A29D2">
        <w:rPr>
          <w:b/>
          <w:sz w:val="16"/>
        </w:rPr>
        <w:t>EN</w:t>
      </w:r>
      <w:r w:rsidR="00CD6E8B">
        <w:rPr>
          <w:b/>
          <w:sz w:val="16"/>
        </w:rPr>
        <w:t xml:space="preserve"> </w:t>
      </w:r>
      <w:r w:rsidRPr="008A29D2">
        <w:rPr>
          <w:b/>
          <w:sz w:val="16"/>
        </w:rPr>
        <w:t>EL PRESUPUESTO DE</w:t>
      </w:r>
      <w:r w:rsidR="008E2053">
        <w:rPr>
          <w:b/>
          <w:sz w:val="16"/>
        </w:rPr>
        <w:t xml:space="preserve"> </w:t>
      </w:r>
      <w:r w:rsidRPr="008A29D2">
        <w:rPr>
          <w:b/>
          <w:sz w:val="16"/>
        </w:rPr>
        <w:t xml:space="preserve">EGRESOS DE LA FEDERACIÓN PARA EL EJERCICIO FISCAL 2014, PARA EL OTORGAMIENTO DE </w:t>
      </w:r>
      <w:r w:rsidR="00973D6B">
        <w:rPr>
          <w:b/>
          <w:sz w:val="16"/>
        </w:rPr>
        <w:t>S</w:t>
      </w:r>
      <w:r w:rsidRPr="008A29D2">
        <w:rPr>
          <w:b/>
          <w:sz w:val="16"/>
        </w:rPr>
        <w:t>UBSIDIOS A LAS ENTIDADES FEDERATIVAS Y A LOS MUNICIPIOS PARA LA</w:t>
      </w:r>
      <w:r w:rsidR="00CD6E8B">
        <w:rPr>
          <w:b/>
          <w:sz w:val="16"/>
        </w:rPr>
        <w:t xml:space="preserve"> </w:t>
      </w:r>
      <w:r w:rsidRPr="008A29D2">
        <w:rPr>
          <w:b/>
          <w:sz w:val="16"/>
        </w:rPr>
        <w:t>CAPACITACIÓN Y PROFESIONALIZACIÓN, ASÍ COMO PARA LA MODERNIZACIÓN</w:t>
      </w:r>
      <w:r w:rsidR="00CD6E8B">
        <w:rPr>
          <w:b/>
          <w:sz w:val="16"/>
        </w:rPr>
        <w:t xml:space="preserve"> </w:t>
      </w:r>
      <w:r w:rsidRPr="008A29D2">
        <w:rPr>
          <w:b/>
          <w:sz w:val="16"/>
        </w:rPr>
        <w:t>DE TECNOLOGÍAS DE LA INFORMACIÓN Y COMUNICACIONES</w:t>
      </w:r>
    </w:p>
    <w:p w:rsidR="004D734B" w:rsidRDefault="004D734B" w:rsidP="007A6854">
      <w:pPr>
        <w:pStyle w:val="ANOTACION"/>
        <w:spacing w:line="270" w:lineRule="exact"/>
      </w:pPr>
      <w:r>
        <w:t>CONSIDERANDO</w:t>
      </w:r>
    </w:p>
    <w:p w:rsidR="004D734B" w:rsidRDefault="004D734B" w:rsidP="007A6854">
      <w:pPr>
        <w:pStyle w:val="Texto"/>
        <w:spacing w:line="270" w:lineRule="exact"/>
      </w:pPr>
      <w:r>
        <w:t>Que en el artículo 45 del Presupuesto de Egresos de la Federación para el Ejercicio Fiscal 2014, se aprobaron recursos para el proceso de la armonización contable, en el Anexo 19 Programas del Ramo General 23 Provisiones Salariales y Económicas por $ 55,865,160 (Provisión para la Armonización Contable); y que dichas previsiones presupuestarias están destinadas en beneficio de las entidades federativas y los municipios, para el otorgamiento de subsidios para la capacitación y profesionalización de las unidades administrativas competentes en materia de contabilidad gubernamental, así como para la modernización de tecnologías de la información y comunicaciones que permitan el cumplimiento de la armonización contable en los tres órdenes de gobierno.</w:t>
      </w:r>
    </w:p>
    <w:p w:rsidR="004D734B" w:rsidRDefault="004D734B" w:rsidP="007A6854">
      <w:pPr>
        <w:pStyle w:val="Texto"/>
        <w:spacing w:line="270" w:lineRule="exact"/>
      </w:pPr>
      <w:r>
        <w:t xml:space="preserve">Que el Secretario Técnico del Consejo Nacional de Armonización Contable (CONAC), en cumplimiento de sus facultades para dar seguimiento, orientar y evaluar los avances en la armonización de la contabilidad, así como asesorar y capacitar a los entes públicos en lo relacionado con la instrumentación e interpretación de las normas contables emitidas por el CONAC, presenta al Consejo en la reunión de trabajo celebrada el 13 de diciembre de 2013, los términos y condiciones para la distribución del fondo previsto en este Presupuesto </w:t>
      </w:r>
      <w:r w:rsidR="00CD6E8B">
        <w:t xml:space="preserve"> </w:t>
      </w:r>
      <w:r>
        <w:t>de Egresos de la Federación para el Ejercicio Fiscal 2014, a las entidades federativas y sus municipios.</w:t>
      </w:r>
    </w:p>
    <w:p w:rsidR="004D734B" w:rsidRDefault="004D734B" w:rsidP="007A6854">
      <w:pPr>
        <w:pStyle w:val="Texto"/>
        <w:spacing w:line="270" w:lineRule="exact"/>
      </w:pPr>
      <w:r>
        <w:t>Que para los efectos anteriores se tiene la obligación del Ejecutivo Federal, por conducto de la Secretaría Hacienda y Crédito Público, con la participación que corresponda del CONAC, de establecer los términos y condiciones para la distribución del fondo previsto en el Presupuesto de Egresos de la Federación.</w:t>
      </w:r>
    </w:p>
    <w:p w:rsidR="004D734B" w:rsidRDefault="004D734B" w:rsidP="007A6854">
      <w:pPr>
        <w:pStyle w:val="Texto"/>
        <w:spacing w:line="270" w:lineRule="exact"/>
      </w:pPr>
      <w:r>
        <w:t>Por lo expuesto se propone al CONAC los siguientes:</w:t>
      </w:r>
    </w:p>
    <w:p w:rsidR="004D734B" w:rsidRDefault="004D734B" w:rsidP="007A6854">
      <w:pPr>
        <w:pStyle w:val="ANOTACION"/>
        <w:spacing w:line="270" w:lineRule="exact"/>
      </w:pPr>
      <w:r>
        <w:t>TÉRMINOS Y CONDICIONES PARA LA DISTRIBUCIÓN DEL FONDO PREVISTO EN</w:t>
      </w:r>
      <w:r w:rsidR="00CD6E8B">
        <w:t xml:space="preserve"> </w:t>
      </w:r>
      <w:r>
        <w:t>EL PRESUPUESTO DE EGRESOS DE LA FEDERACIÓN PARA EL EJERCICIO FISCAL 2014,</w:t>
      </w:r>
      <w:r w:rsidR="00CD6E8B">
        <w:t xml:space="preserve"> </w:t>
      </w:r>
      <w:r>
        <w:t>PARA EL OTORGAMIENTO DE SUBSIDIOS A LAS ENTIDADES FEDERATIVAS</w:t>
      </w:r>
      <w:r w:rsidR="00CD6E8B">
        <w:t xml:space="preserve"> </w:t>
      </w:r>
      <w:r>
        <w:t>Y A LOS MUNICIPIOS PARA LA CAPACITACIÓN Y PROFESIONALIZACIÓN,</w:t>
      </w:r>
      <w:r w:rsidR="00CD6E8B">
        <w:t xml:space="preserve"> </w:t>
      </w:r>
      <w:r>
        <w:t>ASÍ COMO PARA LA MODERNIZACIÓN DE TECNOLOGÍAS DE LA INFORMACIÓN</w:t>
      </w:r>
      <w:r w:rsidR="00CD6E8B">
        <w:t xml:space="preserve"> </w:t>
      </w:r>
      <w:r>
        <w:t>Y COMUNICACIONES</w:t>
      </w:r>
    </w:p>
    <w:p w:rsidR="004D734B" w:rsidRDefault="004D734B" w:rsidP="007A6854">
      <w:pPr>
        <w:pStyle w:val="Texto"/>
        <w:spacing w:line="270" w:lineRule="exact"/>
        <w:rPr>
          <w:b/>
        </w:rPr>
      </w:pPr>
      <w:r>
        <w:rPr>
          <w:b/>
        </w:rPr>
        <w:t>Objeto</w:t>
      </w:r>
    </w:p>
    <w:p w:rsidR="004D734B" w:rsidRDefault="004D734B" w:rsidP="007A6854">
      <w:pPr>
        <w:pStyle w:val="ROMANOS"/>
        <w:spacing w:line="270" w:lineRule="exact"/>
      </w:pPr>
      <w:r>
        <w:t>1.</w:t>
      </w:r>
      <w:r>
        <w:tab/>
        <w:t xml:space="preserve">Establecer los términos y condiciones para la distribución del fondo previsto en el Presupuesto </w:t>
      </w:r>
      <w:r w:rsidR="00CD6E8B">
        <w:t xml:space="preserve"> </w:t>
      </w:r>
      <w:r>
        <w:t xml:space="preserve">de Egresos de la </w:t>
      </w:r>
      <w:r>
        <w:rPr>
          <w:lang w:val="es-ES"/>
        </w:rPr>
        <w:t>Federación</w:t>
      </w:r>
      <w:r>
        <w:t xml:space="preserve"> para el Ejercicio Fiscal 2014 (PEF 2014), para el otorgamiento de subsidios a las entidades federativas y a los municipios para la capacitación y profesionalización </w:t>
      </w:r>
      <w:r w:rsidR="00CD6E8B">
        <w:t xml:space="preserve"> </w:t>
      </w:r>
      <w:r>
        <w:t>de los servidores públicos adscritos a las unidades administrativa que deben adoptar e implementar la Ley y las disposiciones emitidas por el Consejo.</w:t>
      </w:r>
    </w:p>
    <w:p w:rsidR="004D734B" w:rsidRDefault="004D734B" w:rsidP="007A6854">
      <w:pPr>
        <w:pStyle w:val="Texto"/>
        <w:spacing w:line="270" w:lineRule="exact"/>
        <w:rPr>
          <w:b/>
        </w:rPr>
      </w:pPr>
      <w:r>
        <w:rPr>
          <w:b/>
        </w:rPr>
        <w:t>Población Objetivo</w:t>
      </w:r>
    </w:p>
    <w:p w:rsidR="004D734B" w:rsidRDefault="004D734B" w:rsidP="007A6854">
      <w:pPr>
        <w:pStyle w:val="ROMANOS"/>
        <w:spacing w:line="270" w:lineRule="exact"/>
      </w:pPr>
      <w:r>
        <w:t>2.</w:t>
      </w:r>
      <w:r>
        <w:tab/>
        <w:t>La población objetivo son los servidores públicos adscritos a los entes públicos señalados en los artículo 1, segundo párrafo de la Ley General de Contabilidad Gubernamental.</w:t>
      </w:r>
    </w:p>
    <w:p w:rsidR="004D734B" w:rsidRDefault="004D734B" w:rsidP="007A6854">
      <w:pPr>
        <w:pStyle w:val="Texto"/>
        <w:spacing w:line="240" w:lineRule="exact"/>
        <w:rPr>
          <w:b/>
        </w:rPr>
      </w:pPr>
      <w:r>
        <w:rPr>
          <w:b/>
        </w:rPr>
        <w:t>Del Ejercicio de los Recursos</w:t>
      </w:r>
    </w:p>
    <w:p w:rsidR="004D734B" w:rsidRDefault="004D734B" w:rsidP="007A6854">
      <w:pPr>
        <w:pStyle w:val="ROMANOS"/>
        <w:spacing w:line="240" w:lineRule="exact"/>
      </w:pPr>
      <w:r>
        <w:lastRenderedPageBreak/>
        <w:t>3.</w:t>
      </w:r>
      <w:r>
        <w:tab/>
        <w:t>El ejercicio de los recursos podrá llevarse a cabo indistintamente a través del Poder Ejecutivo de las Entidades Federativas; las Entidades Superiores de Fiscalización de la Entidad Federativa, el Instituto para el Desarrollo Técnico de las Haciendas Públicas, o la Asociación Nacional de Organismos de Fiscalización Superior y Control Gubernamental A. C.</w:t>
      </w:r>
    </w:p>
    <w:p w:rsidR="004D734B" w:rsidRDefault="004D734B" w:rsidP="007A6854">
      <w:pPr>
        <w:pStyle w:val="Texto"/>
        <w:spacing w:line="240" w:lineRule="exact"/>
        <w:rPr>
          <w:b/>
        </w:rPr>
      </w:pPr>
      <w:r>
        <w:rPr>
          <w:b/>
        </w:rPr>
        <w:t>De los Requisitos para Acceder a los Recursos PEF 2014</w:t>
      </w:r>
    </w:p>
    <w:p w:rsidR="004D734B" w:rsidRDefault="004D734B" w:rsidP="007A6854">
      <w:pPr>
        <w:pStyle w:val="ROMANOS"/>
        <w:spacing w:line="240" w:lineRule="exact"/>
      </w:pPr>
      <w:r>
        <w:t>4.</w:t>
      </w:r>
      <w:r>
        <w:tab/>
        <w:t>Para acceder a los recursos previstos para la armonización contable en el PEF 2014, el Poder Ejecutivo de las Entidades Federativas; las Entidades Superiores de Fiscalización de la Entidad Federativa, el Instituto para el Desarrollo Técnico de las Haciendas Públicas, o la Asociación Nacional de Organismos de Fiscalización Superior y Control Gubernamental A. C. deberán:</w:t>
      </w:r>
    </w:p>
    <w:p w:rsidR="004D734B" w:rsidRDefault="004D734B" w:rsidP="007A6854">
      <w:pPr>
        <w:pStyle w:val="INCISO"/>
        <w:spacing w:line="240" w:lineRule="exact"/>
      </w:pPr>
      <w:r>
        <w:t>i)</w:t>
      </w:r>
      <w:r>
        <w:tab/>
      </w:r>
      <w:r>
        <w:rPr>
          <w:lang w:val="es-ES"/>
        </w:rPr>
        <w:t>Establecer</w:t>
      </w:r>
      <w:r>
        <w:t xml:space="preserve"> el calendario de las acciones para la implementación de la Ley General </w:t>
      </w:r>
      <w:r w:rsidR="00CD6E8B">
        <w:t xml:space="preserve"> </w:t>
      </w:r>
      <w:r>
        <w:t>de Contabilidad Gubernamental y de los Acuerdos emitidos por el Consejo Nacional de Armonización Contable, y</w:t>
      </w:r>
    </w:p>
    <w:p w:rsidR="004D734B" w:rsidRDefault="004D734B" w:rsidP="007A6854">
      <w:pPr>
        <w:pStyle w:val="INCISO"/>
        <w:spacing w:line="240" w:lineRule="exact"/>
      </w:pPr>
      <w:r>
        <w:t>ii)</w:t>
      </w:r>
      <w:r>
        <w:tab/>
        <w:t>Suscribir un convenio para el uso y destino de los recursos previstos en el PEF 2014, respecto a la capacitación y profesionalización de la armonización contable, con el Titular de la Unidad de Contabilidad Gubernamental de la Secretaría de Hacienda y Crédito Público y Secretario Técnico del Consejo Nacional de Armonización Contable.</w:t>
      </w:r>
    </w:p>
    <w:p w:rsidR="004D734B" w:rsidRDefault="004D734B" w:rsidP="007A6854">
      <w:pPr>
        <w:pStyle w:val="Texto"/>
        <w:spacing w:line="240" w:lineRule="exact"/>
        <w:rPr>
          <w:b/>
        </w:rPr>
      </w:pPr>
      <w:r>
        <w:rPr>
          <w:b/>
        </w:rPr>
        <w:t>De los Criterios de Asignación de Recursos</w:t>
      </w:r>
    </w:p>
    <w:p w:rsidR="004D734B" w:rsidRDefault="004D734B" w:rsidP="007A6854">
      <w:pPr>
        <w:pStyle w:val="ROMANOS"/>
        <w:spacing w:line="240" w:lineRule="exact"/>
      </w:pPr>
      <w:r>
        <w:t>5.</w:t>
      </w:r>
      <w:r>
        <w:tab/>
        <w:t>El Secretario Técnico del Consejo determinará los montos de los subsidios atendiendo a lo siguiente:</w:t>
      </w:r>
    </w:p>
    <w:p w:rsidR="004D734B" w:rsidRDefault="004D734B" w:rsidP="007A6854">
      <w:pPr>
        <w:pStyle w:val="INCISO"/>
        <w:spacing w:line="240" w:lineRule="exact"/>
      </w:pPr>
      <w:r>
        <w:t>i)</w:t>
      </w:r>
      <w:r>
        <w:tab/>
        <w:t>Número de servidores públicos a capacitar en la Entidad Federativa.</w:t>
      </w:r>
    </w:p>
    <w:p w:rsidR="004D734B" w:rsidRDefault="004D734B" w:rsidP="007A6854">
      <w:pPr>
        <w:pStyle w:val="INCISO"/>
        <w:spacing w:line="240" w:lineRule="exact"/>
      </w:pPr>
      <w:r>
        <w:t>ii)</w:t>
      </w:r>
      <w:r>
        <w:tab/>
        <w:t>Número de entes públicos cuyos servidores se capacitarán.</w:t>
      </w:r>
    </w:p>
    <w:p w:rsidR="004D734B" w:rsidRDefault="004D734B" w:rsidP="007A6854">
      <w:pPr>
        <w:pStyle w:val="INCISO"/>
        <w:spacing w:line="240" w:lineRule="exact"/>
      </w:pPr>
      <w:r>
        <w:t>iii)</w:t>
      </w:r>
      <w:r>
        <w:tab/>
        <w:t>Programa de implementación y seguimiento de la “Guía de Cumplimiento” contemplada en el convenio de colaboración suscrito entre la Secretaría de Hacienda y Crédito Público, la Secretaría de la Función Pública y la Auditoría Superior de la Federación del 3 de septiembre de 2013.</w:t>
      </w:r>
    </w:p>
    <w:p w:rsidR="004D734B" w:rsidRDefault="004D734B" w:rsidP="007A6854">
      <w:pPr>
        <w:pStyle w:val="Texto"/>
        <w:spacing w:line="240" w:lineRule="exact"/>
        <w:rPr>
          <w:b/>
        </w:rPr>
      </w:pPr>
      <w:r>
        <w:rPr>
          <w:b/>
        </w:rPr>
        <w:t>Avances y resultados reportados por las entidades federativas y municipios</w:t>
      </w:r>
    </w:p>
    <w:p w:rsidR="004D734B" w:rsidRDefault="004D734B" w:rsidP="007A6854">
      <w:pPr>
        <w:pStyle w:val="ROMANOS"/>
        <w:spacing w:line="240" w:lineRule="exact"/>
      </w:pPr>
      <w:r>
        <w:t>6.</w:t>
      </w:r>
      <w:r>
        <w:tab/>
        <w:t>A fin de dar cumplimiento a la fracción III del artículo 45 del PEF 2104, quienes reciban el recurso previsto en el presente documento, deberán reportar a más tardar el 31 de julio de 2014, los avances y resultados por la entidad federativa y sus municipios.</w:t>
      </w:r>
    </w:p>
    <w:p w:rsidR="004D734B" w:rsidRDefault="004D734B" w:rsidP="007A6854">
      <w:pPr>
        <w:pStyle w:val="Texto"/>
        <w:spacing w:line="240" w:lineRule="exact"/>
        <w:rPr>
          <w:b/>
        </w:rPr>
      </w:pPr>
      <w:r>
        <w:rPr>
          <w:b/>
        </w:rPr>
        <w:t>Interpretación</w:t>
      </w:r>
    </w:p>
    <w:p w:rsidR="004D734B" w:rsidRDefault="004D734B" w:rsidP="007A6854">
      <w:pPr>
        <w:pStyle w:val="ROMANOS"/>
        <w:spacing w:line="240" w:lineRule="exact"/>
      </w:pPr>
      <w:r>
        <w:t>7.</w:t>
      </w:r>
      <w:r>
        <w:tab/>
        <w:t>Corresponderá al Secretario Técnico del Consejo Nacional de Armonización Contable, la interpretación y solución de casos no previstos en el presente documento.</w:t>
      </w:r>
    </w:p>
    <w:p w:rsidR="004D734B" w:rsidRDefault="004D734B" w:rsidP="007A6854">
      <w:pPr>
        <w:pStyle w:val="ANOTACION"/>
        <w:spacing w:line="240" w:lineRule="exact"/>
      </w:pPr>
      <w:r>
        <w:t>TRANSITORIO</w:t>
      </w:r>
    </w:p>
    <w:p w:rsidR="004D734B" w:rsidRDefault="004D734B" w:rsidP="007A6854">
      <w:pPr>
        <w:pStyle w:val="Texto"/>
        <w:spacing w:line="240" w:lineRule="exact"/>
      </w:pPr>
      <w:r>
        <w:rPr>
          <w:b/>
        </w:rPr>
        <w:t>Único</w:t>
      </w:r>
      <w:r>
        <w:t>.- Los presentes Términos y Condiciones entrarán en vigor el 1 de enero de 2014.</w:t>
      </w:r>
    </w:p>
    <w:p w:rsidR="004D734B" w:rsidRDefault="004D734B" w:rsidP="007A6854">
      <w:pPr>
        <w:pStyle w:val="Texto"/>
        <w:spacing w:line="240" w:lineRule="exact"/>
      </w:pPr>
      <w:r>
        <w:t xml:space="preserve">En la Ciudad de México, siendo las trece horas del día 13 de diciembre del año dos mil trece,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Pr>
          <w:b/>
        </w:rPr>
        <w:t>HAGO CONSTAR Y CERTIFICO</w:t>
      </w:r>
      <w:r>
        <w:t xml:space="preserve"> que el documento consistente en 2 fojas útiles, rubricadas y cotejadas, corresponde con el texto de los Términos y Condiciones para la Distribución del Fondo Previsto en el Presupuesto de Egresos de la Federación 2014, para el Otorgamiento de Subsidios a las Entidades Federativas y a los Municipios para la Capacitación y Profesionalización, así como para la Modernización de Tecnologías de la Información y Comunicaciones, aprobado por el Consejo Nacional de Armonización Contable, mismo que estuvo a la vista de los integrantes de dicho Consejo en su reunión extraordinaria celebrada, en segunda convocatoria, el 13 de diciembre del presente año, situación que se certifica para los efectos legales conducentes. Rúbrica</w:t>
      </w:r>
    </w:p>
    <w:p w:rsidR="004D734B" w:rsidRDefault="008A29D2" w:rsidP="007A6854">
      <w:pPr>
        <w:pStyle w:val="Texto"/>
        <w:spacing w:line="260" w:lineRule="exact"/>
      </w:pPr>
      <w:r>
        <w:t xml:space="preserve">El </w:t>
      </w:r>
      <w:r w:rsidRPr="008A29D2">
        <w:t>Secretario Técnico del</w:t>
      </w:r>
      <w:r>
        <w:t xml:space="preserve"> </w:t>
      </w:r>
      <w:r w:rsidRPr="008A29D2">
        <w:t>Consejo Nacional de Armonización Contable</w:t>
      </w:r>
      <w:r>
        <w:t xml:space="preserve">, </w:t>
      </w:r>
      <w:r w:rsidR="004D734B">
        <w:rPr>
          <w:b/>
        </w:rPr>
        <w:t>Juan Manuel Alcocer Gamba</w:t>
      </w:r>
      <w:r>
        <w:t>.- Rúbrica.</w:t>
      </w:r>
    </w:p>
    <w:sectPr w:rsidR="004D734B" w:rsidSect="00B13E5A">
      <w:headerReference w:type="even" r:id="rId7"/>
      <w:headerReference w:type="default" r:id="rId8"/>
      <w:pgSz w:w="12240" w:h="15840" w:code="1"/>
      <w:pgMar w:top="1152" w:right="1699" w:bottom="1296" w:left="1699" w:header="706" w:footer="706"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57F3" w:rsidRDefault="002F57F3">
      <w:r>
        <w:separator/>
      </w:r>
    </w:p>
  </w:endnote>
  <w:endnote w:type="continuationSeparator" w:id="1">
    <w:p w:rsidR="002F57F3" w:rsidRDefault="002F57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Palacio (WN)">
    <w:panose1 w:val="00000000000000000000"/>
    <w:charset w:val="00"/>
    <w:family w:val="roman"/>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Lucida Grande">
    <w:altName w:val="Times New Roman"/>
    <w:charset w:val="00"/>
    <w:family w:val="auto"/>
    <w:pitch w:val="variable"/>
    <w:sig w:usb0="E1000AEF" w:usb1="5000A1FF" w:usb2="00000000" w:usb3="00000000" w:csb0="000001BF" w:csb1="00000000"/>
  </w:font>
  <w:font w:name="R Frutiger Roman">
    <w:altName w:val="Times New Roman"/>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57F3" w:rsidRDefault="002F57F3">
      <w:r>
        <w:separator/>
      </w:r>
    </w:p>
  </w:footnote>
  <w:footnote w:type="continuationSeparator" w:id="1">
    <w:p w:rsidR="002F57F3" w:rsidRDefault="002F57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D90" w:rsidRPr="00CD6E8B" w:rsidRDefault="00CD6E8B" w:rsidP="00B13E5A">
    <w:pPr>
      <w:pStyle w:val="Fechas"/>
      <w:rPr>
        <w:rFonts w:cs="Times New Roman"/>
      </w:rPr>
    </w:pPr>
    <w:r>
      <w:rPr>
        <w:rFonts w:cs="Times New Roman"/>
      </w:rPr>
      <w:t xml:space="preserve"> </w:t>
    </w:r>
    <w:r w:rsidR="00321D90" w:rsidRPr="00CD6E8B">
      <w:rPr>
        <w:rFonts w:cs="Times New Roman"/>
      </w:rPr>
      <w:t xml:space="preserve">     (Segunda Sección)</w:t>
    </w:r>
    <w:r w:rsidR="00321D90" w:rsidRPr="00CD6E8B">
      <w:rPr>
        <w:rFonts w:cs="Times New Roman"/>
      </w:rPr>
      <w:tab/>
      <w:t>DIARIO OFICIAL</w:t>
    </w:r>
    <w:r w:rsidR="00321D90" w:rsidRPr="00CD6E8B">
      <w:rPr>
        <w:rFonts w:cs="Times New Roman"/>
      </w:rPr>
      <w:tab/>
      <w:t>Lunes 30 de diciembre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D90" w:rsidRPr="00CD6E8B" w:rsidRDefault="00321D90" w:rsidP="00B13E5A">
    <w:pPr>
      <w:pStyle w:val="Fechas"/>
      <w:rPr>
        <w:rFonts w:cs="Times New Roman"/>
      </w:rPr>
    </w:pPr>
    <w:r w:rsidRPr="00CD6E8B">
      <w:rPr>
        <w:rFonts w:cs="Times New Roman"/>
      </w:rPr>
      <w:t>Lunes 30 de diciembre de 2013</w:t>
    </w:r>
    <w:r w:rsidRPr="00CD6E8B">
      <w:rPr>
        <w:rFonts w:cs="Times New Roman"/>
      </w:rPr>
      <w:tab/>
      <w:t>DIARIO OFICIAL</w:t>
    </w:r>
    <w:r w:rsidRPr="00CD6E8B">
      <w:rPr>
        <w:rFonts w:cs="Times New Roman"/>
      </w:rPr>
      <w:tab/>
      <w:t xml:space="preserve">(Segunda Sección)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A3644"/>
    <w:multiLevelType w:val="hybridMultilevel"/>
    <w:tmpl w:val="04CECDAE"/>
    <w:lvl w:ilvl="0" w:tplc="080A001B">
      <w:start w:val="1"/>
      <w:numFmt w:val="lowerRoman"/>
      <w:lvlText w:val="%1."/>
      <w:lvlJc w:val="right"/>
      <w:pPr>
        <w:ind w:left="2340" w:hanging="360"/>
      </w:pPr>
    </w:lvl>
    <w:lvl w:ilvl="1" w:tplc="080A0019" w:tentative="1">
      <w:start w:val="1"/>
      <w:numFmt w:val="lowerLetter"/>
      <w:lvlText w:val="%2."/>
      <w:lvlJc w:val="left"/>
      <w:pPr>
        <w:ind w:left="3060" w:hanging="360"/>
      </w:pPr>
    </w:lvl>
    <w:lvl w:ilvl="2" w:tplc="080A001B" w:tentative="1">
      <w:start w:val="1"/>
      <w:numFmt w:val="lowerRoman"/>
      <w:lvlText w:val="%3."/>
      <w:lvlJc w:val="right"/>
      <w:pPr>
        <w:ind w:left="3780" w:hanging="180"/>
      </w:pPr>
    </w:lvl>
    <w:lvl w:ilvl="3" w:tplc="080A000F" w:tentative="1">
      <w:start w:val="1"/>
      <w:numFmt w:val="decimal"/>
      <w:lvlText w:val="%4."/>
      <w:lvlJc w:val="left"/>
      <w:pPr>
        <w:ind w:left="4500" w:hanging="360"/>
      </w:pPr>
    </w:lvl>
    <w:lvl w:ilvl="4" w:tplc="080A0019" w:tentative="1">
      <w:start w:val="1"/>
      <w:numFmt w:val="lowerLetter"/>
      <w:lvlText w:val="%5."/>
      <w:lvlJc w:val="left"/>
      <w:pPr>
        <w:ind w:left="5220" w:hanging="360"/>
      </w:pPr>
    </w:lvl>
    <w:lvl w:ilvl="5" w:tplc="080A001B" w:tentative="1">
      <w:start w:val="1"/>
      <w:numFmt w:val="lowerRoman"/>
      <w:lvlText w:val="%6."/>
      <w:lvlJc w:val="right"/>
      <w:pPr>
        <w:ind w:left="5940" w:hanging="180"/>
      </w:pPr>
    </w:lvl>
    <w:lvl w:ilvl="6" w:tplc="080A000F" w:tentative="1">
      <w:start w:val="1"/>
      <w:numFmt w:val="decimal"/>
      <w:lvlText w:val="%7."/>
      <w:lvlJc w:val="left"/>
      <w:pPr>
        <w:ind w:left="6660" w:hanging="360"/>
      </w:pPr>
    </w:lvl>
    <w:lvl w:ilvl="7" w:tplc="080A0019" w:tentative="1">
      <w:start w:val="1"/>
      <w:numFmt w:val="lowerLetter"/>
      <w:lvlText w:val="%8."/>
      <w:lvlJc w:val="left"/>
      <w:pPr>
        <w:ind w:left="7380" w:hanging="360"/>
      </w:pPr>
    </w:lvl>
    <w:lvl w:ilvl="8" w:tplc="080A001B" w:tentative="1">
      <w:start w:val="1"/>
      <w:numFmt w:val="lowerRoman"/>
      <w:lvlText w:val="%9."/>
      <w:lvlJc w:val="right"/>
      <w:pPr>
        <w:ind w:left="8100" w:hanging="180"/>
      </w:pPr>
    </w:lvl>
  </w:abstractNum>
  <w:abstractNum w:abstractNumId="1">
    <w:nsid w:val="08426DF1"/>
    <w:multiLevelType w:val="hybridMultilevel"/>
    <w:tmpl w:val="F53ED9A4"/>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0FF01BDB"/>
    <w:multiLevelType w:val="hybridMultilevel"/>
    <w:tmpl w:val="04129154"/>
    <w:lvl w:ilvl="0" w:tplc="E35004D2">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
    <w:nsid w:val="14292E79"/>
    <w:multiLevelType w:val="hybridMultilevel"/>
    <w:tmpl w:val="25662BB0"/>
    <w:lvl w:ilvl="0" w:tplc="E92E3A22">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4">
    <w:nsid w:val="20522F8A"/>
    <w:multiLevelType w:val="hybridMultilevel"/>
    <w:tmpl w:val="28E674A2"/>
    <w:lvl w:ilvl="0" w:tplc="080A000F">
      <w:start w:val="1"/>
      <w:numFmt w:val="decimal"/>
      <w:lvlText w:val="%1."/>
      <w:lvlJc w:val="left"/>
      <w:pPr>
        <w:ind w:left="720" w:hanging="360"/>
      </w:pPr>
    </w:lvl>
    <w:lvl w:ilvl="1" w:tplc="080A0019">
      <w:start w:val="1"/>
      <w:numFmt w:val="lowerLetter"/>
      <w:lvlText w:val="%2."/>
      <w:lvlJc w:val="left"/>
      <w:pPr>
        <w:ind w:left="2628"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6">
    <w:nsid w:val="2C7718ED"/>
    <w:multiLevelType w:val="hybridMultilevel"/>
    <w:tmpl w:val="04129154"/>
    <w:lvl w:ilvl="0" w:tplc="E35004D2">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nsid w:val="2F157C57"/>
    <w:multiLevelType w:val="hybridMultilevel"/>
    <w:tmpl w:val="F88814DE"/>
    <w:lvl w:ilvl="0" w:tplc="40AEA4BA">
      <w:numFmt w:val="bullet"/>
      <w:lvlText w:val=""/>
      <w:lvlJc w:val="left"/>
      <w:pPr>
        <w:ind w:left="723" w:hanging="435"/>
      </w:pPr>
      <w:rPr>
        <w:rFonts w:ascii="Arial" w:eastAsia="Calibri" w:hAnsi="Arial" w:cs="Arial" w:hint="default"/>
      </w:rPr>
    </w:lvl>
    <w:lvl w:ilvl="1" w:tplc="080A0003" w:tentative="1">
      <w:start w:val="1"/>
      <w:numFmt w:val="bullet"/>
      <w:lvlText w:val="o"/>
      <w:lvlJc w:val="left"/>
      <w:pPr>
        <w:ind w:left="1368" w:hanging="360"/>
      </w:pPr>
      <w:rPr>
        <w:rFonts w:ascii="Courier New" w:hAnsi="Courier New" w:cs="Courier New" w:hint="default"/>
      </w:rPr>
    </w:lvl>
    <w:lvl w:ilvl="2" w:tplc="080A0005" w:tentative="1">
      <w:start w:val="1"/>
      <w:numFmt w:val="bullet"/>
      <w:lvlText w:val=""/>
      <w:lvlJc w:val="left"/>
      <w:pPr>
        <w:ind w:left="2088" w:hanging="360"/>
      </w:pPr>
      <w:rPr>
        <w:rFonts w:ascii="Wingdings" w:hAnsi="Wingdings" w:hint="default"/>
      </w:rPr>
    </w:lvl>
    <w:lvl w:ilvl="3" w:tplc="080A0001" w:tentative="1">
      <w:start w:val="1"/>
      <w:numFmt w:val="bullet"/>
      <w:lvlText w:val=""/>
      <w:lvlJc w:val="left"/>
      <w:pPr>
        <w:ind w:left="2808" w:hanging="360"/>
      </w:pPr>
      <w:rPr>
        <w:rFonts w:ascii="Symbol" w:hAnsi="Symbol" w:hint="default"/>
      </w:rPr>
    </w:lvl>
    <w:lvl w:ilvl="4" w:tplc="080A0003" w:tentative="1">
      <w:start w:val="1"/>
      <w:numFmt w:val="bullet"/>
      <w:lvlText w:val="o"/>
      <w:lvlJc w:val="left"/>
      <w:pPr>
        <w:ind w:left="3528" w:hanging="360"/>
      </w:pPr>
      <w:rPr>
        <w:rFonts w:ascii="Courier New" w:hAnsi="Courier New" w:cs="Courier New" w:hint="default"/>
      </w:rPr>
    </w:lvl>
    <w:lvl w:ilvl="5" w:tplc="080A0005" w:tentative="1">
      <w:start w:val="1"/>
      <w:numFmt w:val="bullet"/>
      <w:lvlText w:val=""/>
      <w:lvlJc w:val="left"/>
      <w:pPr>
        <w:ind w:left="4248" w:hanging="360"/>
      </w:pPr>
      <w:rPr>
        <w:rFonts w:ascii="Wingdings" w:hAnsi="Wingdings" w:hint="default"/>
      </w:rPr>
    </w:lvl>
    <w:lvl w:ilvl="6" w:tplc="080A0001" w:tentative="1">
      <w:start w:val="1"/>
      <w:numFmt w:val="bullet"/>
      <w:lvlText w:val=""/>
      <w:lvlJc w:val="left"/>
      <w:pPr>
        <w:ind w:left="4968" w:hanging="360"/>
      </w:pPr>
      <w:rPr>
        <w:rFonts w:ascii="Symbol" w:hAnsi="Symbol" w:hint="default"/>
      </w:rPr>
    </w:lvl>
    <w:lvl w:ilvl="7" w:tplc="080A0003" w:tentative="1">
      <w:start w:val="1"/>
      <w:numFmt w:val="bullet"/>
      <w:lvlText w:val="o"/>
      <w:lvlJc w:val="left"/>
      <w:pPr>
        <w:ind w:left="5688" w:hanging="360"/>
      </w:pPr>
      <w:rPr>
        <w:rFonts w:ascii="Courier New" w:hAnsi="Courier New" w:cs="Courier New" w:hint="default"/>
      </w:rPr>
    </w:lvl>
    <w:lvl w:ilvl="8" w:tplc="080A0005" w:tentative="1">
      <w:start w:val="1"/>
      <w:numFmt w:val="bullet"/>
      <w:lvlText w:val=""/>
      <w:lvlJc w:val="left"/>
      <w:pPr>
        <w:ind w:left="6408" w:hanging="360"/>
      </w:pPr>
      <w:rPr>
        <w:rFonts w:ascii="Wingdings" w:hAnsi="Wingdings" w:hint="default"/>
      </w:rPr>
    </w:lvl>
  </w:abstractNum>
  <w:abstractNum w:abstractNumId="8">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9">
    <w:nsid w:val="3A922BC5"/>
    <w:multiLevelType w:val="hybridMultilevel"/>
    <w:tmpl w:val="D0D0716A"/>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0">
    <w:nsid w:val="53495428"/>
    <w:multiLevelType w:val="hybridMultilevel"/>
    <w:tmpl w:val="04129154"/>
    <w:lvl w:ilvl="0" w:tplc="E35004D2">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1">
    <w:nsid w:val="5B8F4329"/>
    <w:multiLevelType w:val="hybridMultilevel"/>
    <w:tmpl w:val="ED825D2A"/>
    <w:lvl w:ilvl="0" w:tplc="7FC89162">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13">
    <w:nsid w:val="722126C1"/>
    <w:multiLevelType w:val="hybridMultilevel"/>
    <w:tmpl w:val="04129154"/>
    <w:lvl w:ilvl="0" w:tplc="E35004D2">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8"/>
  </w:num>
  <w:num w:numId="2">
    <w:abstractNumId w:val="12"/>
  </w:num>
  <w:num w:numId="3">
    <w:abstractNumId w:val="5"/>
  </w:num>
  <w:num w:numId="4">
    <w:abstractNumId w:val="1"/>
  </w:num>
  <w:num w:numId="5">
    <w:abstractNumId w:val="11"/>
  </w:num>
  <w:num w:numId="6">
    <w:abstractNumId w:val="3"/>
  </w:num>
  <w:num w:numId="7">
    <w:abstractNumId w:val="7"/>
  </w:num>
  <w:num w:numId="8">
    <w:abstractNumId w:val="4"/>
  </w:num>
  <w:num w:numId="9">
    <w:abstractNumId w:val="9"/>
  </w:num>
  <w:num w:numId="10">
    <w:abstractNumId w:val="13"/>
  </w:num>
  <w:num w:numId="11">
    <w:abstractNumId w:val="0"/>
  </w:num>
  <w:num w:numId="12">
    <w:abstractNumId w:val="2"/>
  </w:num>
  <w:num w:numId="13">
    <w:abstractNumId w:val="6"/>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ttachedTemplate r:id="rId1"/>
  <w:stylePaneFormatFilter w:val="3F01"/>
  <w:defaultTabStop w:val="706"/>
  <w:hyphenationZone w:val="425"/>
  <w:evenAndOddHeaders/>
  <w:characterSpacingControl w:val="doNotCompress"/>
  <w:footnotePr>
    <w:footnote w:id="0"/>
    <w:footnote w:id="1"/>
  </w:footnotePr>
  <w:endnotePr>
    <w:endnote w:id="0"/>
    <w:endnote w:id="1"/>
  </w:endnotePr>
  <w:compat/>
  <w:rsids>
    <w:rsidRoot w:val="00B13E5A"/>
    <w:rsid w:val="0000418A"/>
    <w:rsid w:val="00067019"/>
    <w:rsid w:val="00072B63"/>
    <w:rsid w:val="00083B21"/>
    <w:rsid w:val="00083B96"/>
    <w:rsid w:val="00085CFF"/>
    <w:rsid w:val="00090755"/>
    <w:rsid w:val="000934C4"/>
    <w:rsid w:val="000B42E5"/>
    <w:rsid w:val="000C50D4"/>
    <w:rsid w:val="000E1938"/>
    <w:rsid w:val="000F0FA3"/>
    <w:rsid w:val="000F706A"/>
    <w:rsid w:val="00106293"/>
    <w:rsid w:val="0010703B"/>
    <w:rsid w:val="00126583"/>
    <w:rsid w:val="001303A7"/>
    <w:rsid w:val="00140A5C"/>
    <w:rsid w:val="00155A7E"/>
    <w:rsid w:val="001574EC"/>
    <w:rsid w:val="001642EF"/>
    <w:rsid w:val="001675A9"/>
    <w:rsid w:val="00176B02"/>
    <w:rsid w:val="001B6981"/>
    <w:rsid w:val="001B700F"/>
    <w:rsid w:val="001E3F16"/>
    <w:rsid w:val="001E6CB1"/>
    <w:rsid w:val="001F6325"/>
    <w:rsid w:val="002043D0"/>
    <w:rsid w:val="002214D8"/>
    <w:rsid w:val="002222ED"/>
    <w:rsid w:val="00227A89"/>
    <w:rsid w:val="0025082C"/>
    <w:rsid w:val="00255299"/>
    <w:rsid w:val="00267A64"/>
    <w:rsid w:val="00285BE5"/>
    <w:rsid w:val="00286668"/>
    <w:rsid w:val="00290296"/>
    <w:rsid w:val="00291CA7"/>
    <w:rsid w:val="002940B6"/>
    <w:rsid w:val="002A6744"/>
    <w:rsid w:val="002B00EE"/>
    <w:rsid w:val="002B127D"/>
    <w:rsid w:val="002B3857"/>
    <w:rsid w:val="002C3644"/>
    <w:rsid w:val="002C6323"/>
    <w:rsid w:val="002E0094"/>
    <w:rsid w:val="002F57F3"/>
    <w:rsid w:val="002F6279"/>
    <w:rsid w:val="002F666A"/>
    <w:rsid w:val="003010CD"/>
    <w:rsid w:val="0030321A"/>
    <w:rsid w:val="0030576D"/>
    <w:rsid w:val="00321D90"/>
    <w:rsid w:val="00322B73"/>
    <w:rsid w:val="00323864"/>
    <w:rsid w:val="0032394E"/>
    <w:rsid w:val="00326B04"/>
    <w:rsid w:val="00330780"/>
    <w:rsid w:val="003340A4"/>
    <w:rsid w:val="003371FF"/>
    <w:rsid w:val="00344413"/>
    <w:rsid w:val="00357A6B"/>
    <w:rsid w:val="003636F2"/>
    <w:rsid w:val="0036410B"/>
    <w:rsid w:val="003656C6"/>
    <w:rsid w:val="00366C85"/>
    <w:rsid w:val="00373DFE"/>
    <w:rsid w:val="00391256"/>
    <w:rsid w:val="0039202C"/>
    <w:rsid w:val="0039505A"/>
    <w:rsid w:val="00396076"/>
    <w:rsid w:val="0039644A"/>
    <w:rsid w:val="003A15C5"/>
    <w:rsid w:val="003C4493"/>
    <w:rsid w:val="003C5EB9"/>
    <w:rsid w:val="003E5783"/>
    <w:rsid w:val="003E7472"/>
    <w:rsid w:val="003F71C8"/>
    <w:rsid w:val="00403D81"/>
    <w:rsid w:val="00410B8C"/>
    <w:rsid w:val="00412560"/>
    <w:rsid w:val="00412ED6"/>
    <w:rsid w:val="004142D5"/>
    <w:rsid w:val="00417CB6"/>
    <w:rsid w:val="0042779F"/>
    <w:rsid w:val="004352A9"/>
    <w:rsid w:val="00440349"/>
    <w:rsid w:val="004476FF"/>
    <w:rsid w:val="00463F8A"/>
    <w:rsid w:val="00464085"/>
    <w:rsid w:val="004652D9"/>
    <w:rsid w:val="00465E99"/>
    <w:rsid w:val="00484940"/>
    <w:rsid w:val="004A7426"/>
    <w:rsid w:val="004B2F2C"/>
    <w:rsid w:val="004C49C6"/>
    <w:rsid w:val="004D4A72"/>
    <w:rsid w:val="004D734B"/>
    <w:rsid w:val="004E1368"/>
    <w:rsid w:val="004E6B1F"/>
    <w:rsid w:val="004E77FB"/>
    <w:rsid w:val="004F3FE9"/>
    <w:rsid w:val="00512CDB"/>
    <w:rsid w:val="00514993"/>
    <w:rsid w:val="00534337"/>
    <w:rsid w:val="0053581A"/>
    <w:rsid w:val="00535845"/>
    <w:rsid w:val="005438AB"/>
    <w:rsid w:val="0054733E"/>
    <w:rsid w:val="00552A7E"/>
    <w:rsid w:val="0055349C"/>
    <w:rsid w:val="0056360B"/>
    <w:rsid w:val="00596B93"/>
    <w:rsid w:val="005A0268"/>
    <w:rsid w:val="005C4019"/>
    <w:rsid w:val="005C5E02"/>
    <w:rsid w:val="005C75DE"/>
    <w:rsid w:val="005D7D14"/>
    <w:rsid w:val="005F4E9B"/>
    <w:rsid w:val="006231E1"/>
    <w:rsid w:val="00627360"/>
    <w:rsid w:val="00627D1A"/>
    <w:rsid w:val="0063495E"/>
    <w:rsid w:val="00634C63"/>
    <w:rsid w:val="00653A19"/>
    <w:rsid w:val="00656CFF"/>
    <w:rsid w:val="006600F8"/>
    <w:rsid w:val="0067024B"/>
    <w:rsid w:val="006711A8"/>
    <w:rsid w:val="00674139"/>
    <w:rsid w:val="00681BC5"/>
    <w:rsid w:val="00691836"/>
    <w:rsid w:val="0069357B"/>
    <w:rsid w:val="00697B7C"/>
    <w:rsid w:val="006B1785"/>
    <w:rsid w:val="006B7539"/>
    <w:rsid w:val="006C65D5"/>
    <w:rsid w:val="006D2E40"/>
    <w:rsid w:val="006E2487"/>
    <w:rsid w:val="006E4EE3"/>
    <w:rsid w:val="006E66EC"/>
    <w:rsid w:val="0070415B"/>
    <w:rsid w:val="00717A6D"/>
    <w:rsid w:val="00724703"/>
    <w:rsid w:val="00735E9D"/>
    <w:rsid w:val="00737435"/>
    <w:rsid w:val="00741ABD"/>
    <w:rsid w:val="00746FC8"/>
    <w:rsid w:val="007578BE"/>
    <w:rsid w:val="00796EC0"/>
    <w:rsid w:val="00797AB4"/>
    <w:rsid w:val="007A0956"/>
    <w:rsid w:val="007A4709"/>
    <w:rsid w:val="007A6854"/>
    <w:rsid w:val="007C07AA"/>
    <w:rsid w:val="007D00B8"/>
    <w:rsid w:val="007D1A8C"/>
    <w:rsid w:val="007D286A"/>
    <w:rsid w:val="007D787C"/>
    <w:rsid w:val="007E0551"/>
    <w:rsid w:val="007F192E"/>
    <w:rsid w:val="00827CE1"/>
    <w:rsid w:val="0083080F"/>
    <w:rsid w:val="00831A84"/>
    <w:rsid w:val="00831F88"/>
    <w:rsid w:val="00837D49"/>
    <w:rsid w:val="008651ED"/>
    <w:rsid w:val="00875A59"/>
    <w:rsid w:val="00890AF9"/>
    <w:rsid w:val="00890F07"/>
    <w:rsid w:val="0089120F"/>
    <w:rsid w:val="0089558E"/>
    <w:rsid w:val="008A23F3"/>
    <w:rsid w:val="008A29D2"/>
    <w:rsid w:val="008A33FE"/>
    <w:rsid w:val="008A750B"/>
    <w:rsid w:val="008B5BD2"/>
    <w:rsid w:val="008D17A5"/>
    <w:rsid w:val="008E2053"/>
    <w:rsid w:val="008E35DF"/>
    <w:rsid w:val="008F6253"/>
    <w:rsid w:val="008F7A18"/>
    <w:rsid w:val="00913D77"/>
    <w:rsid w:val="009167A0"/>
    <w:rsid w:val="009200A2"/>
    <w:rsid w:val="009329FB"/>
    <w:rsid w:val="00934FDA"/>
    <w:rsid w:val="009359E5"/>
    <w:rsid w:val="00945F33"/>
    <w:rsid w:val="00973D6B"/>
    <w:rsid w:val="009932CA"/>
    <w:rsid w:val="00996C7D"/>
    <w:rsid w:val="009A7654"/>
    <w:rsid w:val="009B0491"/>
    <w:rsid w:val="009C02DA"/>
    <w:rsid w:val="009E19ED"/>
    <w:rsid w:val="009E1AC6"/>
    <w:rsid w:val="009E3B35"/>
    <w:rsid w:val="009E63EA"/>
    <w:rsid w:val="009F050F"/>
    <w:rsid w:val="00A225F5"/>
    <w:rsid w:val="00A31E9B"/>
    <w:rsid w:val="00A333DC"/>
    <w:rsid w:val="00A43E63"/>
    <w:rsid w:val="00A459F3"/>
    <w:rsid w:val="00A53D31"/>
    <w:rsid w:val="00A61E78"/>
    <w:rsid w:val="00A73F8A"/>
    <w:rsid w:val="00A75DFE"/>
    <w:rsid w:val="00A76032"/>
    <w:rsid w:val="00A8099D"/>
    <w:rsid w:val="00A81D62"/>
    <w:rsid w:val="00A84922"/>
    <w:rsid w:val="00AA082A"/>
    <w:rsid w:val="00AA0D24"/>
    <w:rsid w:val="00AB5F79"/>
    <w:rsid w:val="00AD54E0"/>
    <w:rsid w:val="00AD62AA"/>
    <w:rsid w:val="00B00632"/>
    <w:rsid w:val="00B13E5A"/>
    <w:rsid w:val="00B14C29"/>
    <w:rsid w:val="00B170E8"/>
    <w:rsid w:val="00B17C8F"/>
    <w:rsid w:val="00B3769E"/>
    <w:rsid w:val="00B63531"/>
    <w:rsid w:val="00B659CF"/>
    <w:rsid w:val="00B7008A"/>
    <w:rsid w:val="00B717B3"/>
    <w:rsid w:val="00B71822"/>
    <w:rsid w:val="00B87B85"/>
    <w:rsid w:val="00BB7999"/>
    <w:rsid w:val="00BF091C"/>
    <w:rsid w:val="00BF37AD"/>
    <w:rsid w:val="00BF4783"/>
    <w:rsid w:val="00C01B5D"/>
    <w:rsid w:val="00C258E4"/>
    <w:rsid w:val="00C72F0B"/>
    <w:rsid w:val="00C9060E"/>
    <w:rsid w:val="00C96371"/>
    <w:rsid w:val="00CA24D5"/>
    <w:rsid w:val="00CA2FDC"/>
    <w:rsid w:val="00CA3BBA"/>
    <w:rsid w:val="00CB5CD7"/>
    <w:rsid w:val="00CC0602"/>
    <w:rsid w:val="00CC39A6"/>
    <w:rsid w:val="00CC6BCB"/>
    <w:rsid w:val="00CC71C5"/>
    <w:rsid w:val="00CD0E97"/>
    <w:rsid w:val="00CD6850"/>
    <w:rsid w:val="00CD6E8B"/>
    <w:rsid w:val="00CF0FFB"/>
    <w:rsid w:val="00CF6193"/>
    <w:rsid w:val="00D04785"/>
    <w:rsid w:val="00D32C7D"/>
    <w:rsid w:val="00D34588"/>
    <w:rsid w:val="00D3478E"/>
    <w:rsid w:val="00D35333"/>
    <w:rsid w:val="00D42FD2"/>
    <w:rsid w:val="00D54C2F"/>
    <w:rsid w:val="00D6286A"/>
    <w:rsid w:val="00D64953"/>
    <w:rsid w:val="00D704AB"/>
    <w:rsid w:val="00D87572"/>
    <w:rsid w:val="00D92F4C"/>
    <w:rsid w:val="00D930B9"/>
    <w:rsid w:val="00D95DFA"/>
    <w:rsid w:val="00DE4C7A"/>
    <w:rsid w:val="00DF6036"/>
    <w:rsid w:val="00DF6BC3"/>
    <w:rsid w:val="00E02AC5"/>
    <w:rsid w:val="00E21F6A"/>
    <w:rsid w:val="00E30B22"/>
    <w:rsid w:val="00E3798A"/>
    <w:rsid w:val="00E460F3"/>
    <w:rsid w:val="00E47DEC"/>
    <w:rsid w:val="00E50177"/>
    <w:rsid w:val="00E5027B"/>
    <w:rsid w:val="00E518E7"/>
    <w:rsid w:val="00E5626A"/>
    <w:rsid w:val="00E772E5"/>
    <w:rsid w:val="00E80AAE"/>
    <w:rsid w:val="00E82585"/>
    <w:rsid w:val="00EA096B"/>
    <w:rsid w:val="00EA0ABD"/>
    <w:rsid w:val="00EA46E7"/>
    <w:rsid w:val="00EB3C2A"/>
    <w:rsid w:val="00EE6353"/>
    <w:rsid w:val="00EF1962"/>
    <w:rsid w:val="00EF226B"/>
    <w:rsid w:val="00EF3D36"/>
    <w:rsid w:val="00F00937"/>
    <w:rsid w:val="00F22399"/>
    <w:rsid w:val="00F23CA1"/>
    <w:rsid w:val="00F315C9"/>
    <w:rsid w:val="00F42E31"/>
    <w:rsid w:val="00F51E5E"/>
    <w:rsid w:val="00F55907"/>
    <w:rsid w:val="00F62AB0"/>
    <w:rsid w:val="00F64B32"/>
    <w:rsid w:val="00F70C4B"/>
    <w:rsid w:val="00F808C0"/>
    <w:rsid w:val="00F83712"/>
    <w:rsid w:val="00F85CA3"/>
    <w:rsid w:val="00FA672D"/>
    <w:rsid w:val="00FC03A2"/>
    <w:rsid w:val="00FC15C8"/>
    <w:rsid w:val="00FC5DD1"/>
    <w:rsid w:val="00FD0D2C"/>
    <w:rsid w:val="00FD44E8"/>
    <w:rsid w:val="00FD7200"/>
    <w:rsid w:val="00FE5F30"/>
    <w:rsid w:val="00FE6ABD"/>
    <w:rsid w:val="00FF0B9B"/>
    <w:rsid w:val="00FF4833"/>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36F2"/>
    <w:pPr>
      <w:spacing w:after="200" w:line="276" w:lineRule="auto"/>
    </w:pPr>
    <w:rPr>
      <w:rFonts w:ascii="Calibri" w:eastAsia="Calibri" w:hAnsi="Calibri"/>
      <w:sz w:val="22"/>
      <w:szCs w:val="22"/>
      <w:lang w:eastAsia="en-US"/>
    </w:rPr>
  </w:style>
  <w:style w:type="paragraph" w:styleId="Ttulo1">
    <w:name w:val="heading 1"/>
    <w:basedOn w:val="Normal"/>
    <w:next w:val="Normal"/>
    <w:link w:val="Ttulo1Car"/>
    <w:qFormat/>
    <w:rsid w:val="003636F2"/>
    <w:pPr>
      <w:pBdr>
        <w:bottom w:val="single" w:sz="12" w:space="1" w:color="auto"/>
        <w:between w:val="single" w:sz="12" w:space="1" w:color="auto"/>
      </w:pBdr>
      <w:spacing w:before="120"/>
      <w:jc w:val="both"/>
      <w:outlineLvl w:val="0"/>
    </w:pPr>
    <w:rPr>
      <w:rFonts w:ascii="Times New Roman" w:eastAsia="Times New Roman" w:hAnsi="Times New Roman" w:cs="CG Palacio (WN)"/>
      <w:b/>
      <w:sz w:val="18"/>
      <w:szCs w:val="24"/>
      <w:lang w:val="es-ES" w:eastAsia="es-ES"/>
    </w:rPr>
  </w:style>
  <w:style w:type="paragraph" w:styleId="Ttulo2">
    <w:name w:val="heading 2"/>
    <w:basedOn w:val="Normal"/>
    <w:next w:val="Normal"/>
    <w:link w:val="Ttulo2Car"/>
    <w:qFormat/>
    <w:rsid w:val="003636F2"/>
    <w:pPr>
      <w:pBdr>
        <w:top w:val="double" w:sz="6" w:space="1" w:color="auto"/>
        <w:between w:val="double" w:sz="6" w:space="1" w:color="auto"/>
      </w:pBdr>
      <w:spacing w:after="101" w:line="216" w:lineRule="atLeast"/>
      <w:jc w:val="both"/>
      <w:outlineLvl w:val="1"/>
    </w:pPr>
    <w:rPr>
      <w:rFonts w:ascii="Arial" w:eastAsia="Times New Roman" w:hAnsi="Arial" w:cs="Helv"/>
      <w:sz w:val="18"/>
      <w:szCs w:val="20"/>
      <w:lang w:val="es-ES_tradnl" w:eastAsia="es-MX"/>
    </w:rPr>
  </w:style>
  <w:style w:type="paragraph" w:styleId="Ttulo3">
    <w:name w:val="heading 3"/>
    <w:basedOn w:val="Normal"/>
    <w:next w:val="Normal"/>
    <w:link w:val="Ttulo3Car"/>
    <w:qFormat/>
    <w:rsid w:val="003636F2"/>
    <w:pPr>
      <w:keepNext/>
      <w:keepLines/>
      <w:spacing w:before="200" w:after="0" w:line="240" w:lineRule="auto"/>
      <w:outlineLvl w:val="2"/>
    </w:pPr>
    <w:rPr>
      <w:rFonts w:ascii="Cambria" w:eastAsia="Times New Roman" w:hAnsi="Cambria" w:cs="Cambria"/>
      <w:b/>
      <w:color w:val="C0C0C0"/>
      <w:sz w:val="24"/>
      <w:szCs w:val="20"/>
      <w:lang w:val="es-ES" w:eastAsia="es-MX"/>
    </w:rPr>
  </w:style>
  <w:style w:type="paragraph" w:styleId="Ttulo7">
    <w:name w:val="heading 7"/>
    <w:basedOn w:val="Normal"/>
    <w:next w:val="Normal"/>
    <w:link w:val="Ttulo7Car"/>
    <w:qFormat/>
    <w:rsid w:val="003636F2"/>
    <w:pPr>
      <w:keepNext/>
      <w:spacing w:after="0" w:line="240" w:lineRule="auto"/>
      <w:ind w:firstLine="708"/>
      <w:jc w:val="both"/>
      <w:outlineLvl w:val="6"/>
    </w:pPr>
    <w:rPr>
      <w:rFonts w:ascii="Arial" w:eastAsia="Times New Roman" w:hAnsi="Arial" w:cs="Arial"/>
      <w:b/>
      <w:sz w:val="24"/>
      <w:szCs w:val="20"/>
      <w:lang w:val="es-ES_tradnl" w:eastAsia="es-MX"/>
    </w:rPr>
  </w:style>
  <w:style w:type="paragraph" w:styleId="Ttulo9">
    <w:name w:val="heading 9"/>
    <w:basedOn w:val="Normal"/>
    <w:next w:val="Normal"/>
    <w:link w:val="Ttulo9Car"/>
    <w:qFormat/>
    <w:rsid w:val="003636F2"/>
    <w:pPr>
      <w:keepNext/>
      <w:keepLines/>
      <w:spacing w:before="200" w:after="0" w:line="240" w:lineRule="auto"/>
      <w:outlineLvl w:val="8"/>
    </w:pPr>
    <w:rPr>
      <w:rFonts w:ascii="Cambria" w:eastAsia="Times New Roman" w:hAnsi="Cambria" w:cs="Cambria"/>
      <w:i/>
      <w:color w:val="000000"/>
      <w:sz w:val="20"/>
      <w:szCs w:val="20"/>
      <w:lang w:val="es-ES"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uiPriority w:val="99"/>
    <w:semiHidden/>
  </w:style>
  <w:style w:type="paragraph" w:customStyle="1" w:styleId="Texto">
    <w:name w:val="Texto"/>
    <w:basedOn w:val="Normal"/>
    <w:link w:val="TextoCar"/>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322B73"/>
    <w:pPr>
      <w:spacing w:after="0" w:line="240" w:lineRule="auto"/>
      <w:jc w:val="center"/>
    </w:pPr>
    <w:rPr>
      <w:rFonts w:ascii="Times New Roman" w:hAnsi="Times New Roman" w:cs="Arial"/>
      <w:b/>
      <w:sz w:val="28"/>
      <w:szCs w:val="28"/>
      <w:lang w:val="es-ES_tradnl" w:eastAsia="es-MX"/>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eastAsia="es-MX"/>
    </w:rPr>
  </w:style>
  <w:style w:type="paragraph" w:customStyle="1" w:styleId="ANOTACION">
    <w:name w:val="ANOTACION"/>
    <w:basedOn w:val="Normal"/>
    <w:link w:val="ANOTACIONCar"/>
    <w:autoRedefine/>
    <w:rsid w:val="00227A89"/>
    <w:pPr>
      <w:spacing w:before="101" w:after="101" w:line="216" w:lineRule="atLeast"/>
      <w:jc w:val="center"/>
    </w:pPr>
    <w:rPr>
      <w:rFonts w:ascii="Times New Roman" w:hAnsi="Times New Roman"/>
      <w:b/>
      <w:sz w:val="18"/>
      <w:szCs w:val="20"/>
      <w:lang w:val="es-ES_tradnl"/>
    </w:rPr>
  </w:style>
  <w:style w:type="paragraph" w:customStyle="1" w:styleId="SUBIN">
    <w:name w:val="SUBIN"/>
    <w:basedOn w:val="Texto"/>
    <w:rsid w:val="00535845"/>
    <w:pPr>
      <w:ind w:left="1987" w:hanging="720"/>
    </w:p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eastAsia="es-MX"/>
    </w:rPr>
  </w:style>
  <w:style w:type="paragraph" w:customStyle="1" w:styleId="Titulo2">
    <w:name w:val="Titulo 2"/>
    <w:basedOn w:val="Texto"/>
    <w:rsid w:val="00FE5F30"/>
    <w:pPr>
      <w:pBdr>
        <w:top w:val="double" w:sz="6" w:space="1" w:color="auto"/>
      </w:pBdr>
      <w:spacing w:line="240" w:lineRule="auto"/>
      <w:ind w:firstLine="0"/>
      <w:outlineLvl w:val="1"/>
    </w:p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rsid w:val="00140A5C"/>
    <w:pPr>
      <w:tabs>
        <w:tab w:val="center" w:pos="4419"/>
        <w:tab w:val="right" w:pos="8838"/>
      </w:tabs>
    </w:pPr>
  </w:style>
  <w:style w:type="paragraph" w:customStyle="1" w:styleId="EstilotextoPrimeralnea0">
    <w:name w:val="Estilo texto + Primera línea:  0&quot;"/>
    <w:basedOn w:val="Normal"/>
    <w:rsid w:val="0054733E"/>
    <w:pPr>
      <w:spacing w:after="101" w:line="216" w:lineRule="exact"/>
      <w:jc w:val="both"/>
    </w:pPr>
    <w:rPr>
      <w:rFonts w:ascii="Arial" w:hAnsi="Arial"/>
      <w:sz w:val="18"/>
      <w:szCs w:val="20"/>
      <w:lang w:eastAsia="es-MX"/>
    </w:rPr>
  </w:style>
  <w:style w:type="character" w:customStyle="1" w:styleId="TextoCar">
    <w:name w:val="Texto Car"/>
    <w:link w:val="Texto"/>
    <w:locked/>
    <w:rsid w:val="003E5783"/>
    <w:rPr>
      <w:rFonts w:ascii="Arial" w:hAnsi="Arial" w:cs="Arial"/>
      <w:sz w:val="18"/>
      <w:lang w:val="es-ES" w:eastAsia="es-ES" w:bidi="ar-SA"/>
    </w:rPr>
  </w:style>
  <w:style w:type="character" w:customStyle="1" w:styleId="ROMANOSCar">
    <w:name w:val="ROMANOS Car"/>
    <w:link w:val="ROMANOS"/>
    <w:locked/>
    <w:rsid w:val="003E5783"/>
    <w:rPr>
      <w:rFonts w:ascii="Arial" w:hAnsi="Arial" w:cs="Arial"/>
      <w:sz w:val="18"/>
      <w:szCs w:val="18"/>
      <w:lang w:val="es-ES" w:eastAsia="es-ES" w:bidi="ar-SA"/>
    </w:rPr>
  </w:style>
  <w:style w:type="character" w:customStyle="1" w:styleId="ANOTACIONCar">
    <w:name w:val="ANOTACION Car"/>
    <w:link w:val="ANOTACION"/>
    <w:locked/>
    <w:rsid w:val="00227A89"/>
    <w:rPr>
      <w:rFonts w:eastAsia="Calibri"/>
      <w:b/>
      <w:sz w:val="18"/>
      <w:lang w:val="es-ES_tradnl" w:eastAsia="en-US"/>
    </w:rPr>
  </w:style>
  <w:style w:type="paragraph" w:styleId="Piedepgina">
    <w:name w:val="footer"/>
    <w:basedOn w:val="Normal"/>
    <w:link w:val="PiedepginaCar"/>
    <w:rsid w:val="00140A5C"/>
    <w:pPr>
      <w:tabs>
        <w:tab w:val="center" w:pos="4419"/>
        <w:tab w:val="right" w:pos="8838"/>
      </w:tabs>
    </w:pPr>
  </w:style>
  <w:style w:type="character" w:styleId="Nmerodepgina">
    <w:name w:val="page number"/>
    <w:basedOn w:val="Fuentedeprrafopredeter"/>
    <w:rsid w:val="00140A5C"/>
  </w:style>
  <w:style w:type="character" w:customStyle="1" w:styleId="Ttulo1Car">
    <w:name w:val="Título 1 Car"/>
    <w:link w:val="Ttulo1"/>
    <w:rsid w:val="003636F2"/>
    <w:rPr>
      <w:rFonts w:cs="CG Palacio (WN)"/>
      <w:b/>
      <w:sz w:val="18"/>
      <w:szCs w:val="24"/>
      <w:lang w:val="es-ES" w:eastAsia="es-ES"/>
    </w:rPr>
  </w:style>
  <w:style w:type="character" w:customStyle="1" w:styleId="Ttulo2Car">
    <w:name w:val="Título 2 Car"/>
    <w:link w:val="Ttulo2"/>
    <w:rsid w:val="003636F2"/>
    <w:rPr>
      <w:rFonts w:ascii="Arial" w:hAnsi="Arial" w:cs="Helv"/>
      <w:sz w:val="18"/>
      <w:lang w:val="es-ES_tradnl"/>
    </w:rPr>
  </w:style>
  <w:style w:type="paragraph" w:styleId="Prrafodelista">
    <w:name w:val="List Paragraph"/>
    <w:basedOn w:val="Normal"/>
    <w:link w:val="PrrafodelistaCar"/>
    <w:qFormat/>
    <w:rsid w:val="003636F2"/>
    <w:pPr>
      <w:spacing w:after="0" w:line="240" w:lineRule="auto"/>
      <w:ind w:left="708"/>
    </w:pPr>
    <w:rPr>
      <w:rFonts w:ascii="Times New Roman" w:eastAsia="Times New Roman" w:hAnsi="Times New Roman"/>
      <w:sz w:val="24"/>
      <w:szCs w:val="20"/>
      <w:lang w:val="es-ES" w:eastAsia="es-MX"/>
    </w:rPr>
  </w:style>
  <w:style w:type="character" w:customStyle="1" w:styleId="Ttulo3Car">
    <w:name w:val="Título 3 Car"/>
    <w:link w:val="Ttulo3"/>
    <w:rsid w:val="003636F2"/>
    <w:rPr>
      <w:rFonts w:ascii="Cambria" w:hAnsi="Cambria" w:cs="Cambria"/>
      <w:b/>
      <w:color w:val="C0C0C0"/>
      <w:sz w:val="24"/>
      <w:lang w:val="es-ES"/>
    </w:rPr>
  </w:style>
  <w:style w:type="character" w:customStyle="1" w:styleId="Ttulo7Car">
    <w:name w:val="Título 7 Car"/>
    <w:link w:val="Ttulo7"/>
    <w:rsid w:val="003636F2"/>
    <w:rPr>
      <w:rFonts w:ascii="Arial" w:hAnsi="Arial" w:cs="Arial"/>
      <w:b/>
      <w:sz w:val="24"/>
      <w:lang w:val="es-ES_tradnl"/>
    </w:rPr>
  </w:style>
  <w:style w:type="character" w:customStyle="1" w:styleId="Ttulo9Car">
    <w:name w:val="Título 9 Car"/>
    <w:link w:val="Ttulo9"/>
    <w:rsid w:val="003636F2"/>
    <w:rPr>
      <w:rFonts w:ascii="Cambria" w:hAnsi="Cambria" w:cs="Cambria"/>
      <w:i/>
      <w:color w:val="000000"/>
      <w:lang w:val="es-ES"/>
    </w:rPr>
  </w:style>
  <w:style w:type="paragraph" w:customStyle="1" w:styleId="centrado">
    <w:name w:val="centrado"/>
    <w:basedOn w:val="Texto"/>
    <w:autoRedefine/>
    <w:rsid w:val="009359E5"/>
    <w:pPr>
      <w:spacing w:line="216" w:lineRule="atLeast"/>
      <w:ind w:firstLine="0"/>
      <w:jc w:val="center"/>
    </w:pPr>
    <w:rPr>
      <w:rFonts w:eastAsia="Times New Roman"/>
      <w:lang w:val="es-ES_tradnl" w:eastAsia="es-MX"/>
    </w:rPr>
  </w:style>
  <w:style w:type="character" w:customStyle="1" w:styleId="PiedepginaCar">
    <w:name w:val="Pie de página Car"/>
    <w:link w:val="Piedepgina"/>
    <w:rsid w:val="00B13E5A"/>
    <w:rPr>
      <w:rFonts w:ascii="Calibri" w:eastAsia="Calibri" w:hAnsi="Calibri"/>
      <w:sz w:val="22"/>
      <w:szCs w:val="22"/>
      <w:lang w:eastAsia="en-US"/>
    </w:rPr>
  </w:style>
  <w:style w:type="character" w:customStyle="1" w:styleId="EncabezadoCar">
    <w:name w:val="Encabezado Car"/>
    <w:link w:val="Encabezado"/>
    <w:rsid w:val="00B13E5A"/>
    <w:rPr>
      <w:rFonts w:ascii="Calibri" w:eastAsia="Calibri" w:hAnsi="Calibri"/>
      <w:sz w:val="22"/>
      <w:szCs w:val="22"/>
      <w:lang w:eastAsia="en-US"/>
    </w:rPr>
  </w:style>
  <w:style w:type="table" w:styleId="Tablaconcuadrcula">
    <w:name w:val="Table Grid"/>
    <w:basedOn w:val="Tablanormal"/>
    <w:uiPriority w:val="59"/>
    <w:rsid w:val="00B13E5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13E5A"/>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texto0">
    <w:name w:val="texto"/>
    <w:basedOn w:val="Normal"/>
    <w:rsid w:val="00E47DEC"/>
    <w:pPr>
      <w:snapToGrid w:val="0"/>
      <w:spacing w:after="101" w:line="216" w:lineRule="exact"/>
      <w:ind w:firstLine="288"/>
      <w:jc w:val="both"/>
    </w:pPr>
    <w:rPr>
      <w:rFonts w:ascii="Arial" w:eastAsia="Times New Roman" w:hAnsi="Arial" w:cs="Arial"/>
      <w:sz w:val="18"/>
      <w:szCs w:val="18"/>
      <w:lang w:eastAsia="es-ES"/>
    </w:rPr>
  </w:style>
  <w:style w:type="paragraph" w:styleId="Textonotapie">
    <w:name w:val="footnote text"/>
    <w:basedOn w:val="Normal"/>
    <w:link w:val="TextonotapieCar"/>
    <w:rsid w:val="00E47DEC"/>
    <w:pPr>
      <w:spacing w:after="0" w:line="240" w:lineRule="auto"/>
    </w:pPr>
    <w:rPr>
      <w:rFonts w:ascii="Cambria" w:eastAsia="Times New Roman" w:hAnsi="Cambria" w:cs="Cambria"/>
      <w:sz w:val="20"/>
      <w:szCs w:val="20"/>
      <w:lang w:val="es-ES_tradnl" w:eastAsia="es-MX"/>
    </w:rPr>
  </w:style>
  <w:style w:type="character" w:customStyle="1" w:styleId="TextonotapieCar">
    <w:name w:val="Texto nota pie Car"/>
    <w:link w:val="Textonotapie"/>
    <w:rsid w:val="00E47DEC"/>
    <w:rPr>
      <w:rFonts w:ascii="Cambria" w:hAnsi="Cambria" w:cs="Cambria"/>
      <w:lang w:val="es-ES_tradnl"/>
    </w:rPr>
  </w:style>
  <w:style w:type="paragraph" w:styleId="Textocomentario">
    <w:name w:val="annotation text"/>
    <w:basedOn w:val="Normal"/>
    <w:link w:val="TextocomentarioCar"/>
    <w:rsid w:val="00E47DEC"/>
    <w:pPr>
      <w:spacing w:after="0" w:line="240" w:lineRule="auto"/>
    </w:pPr>
    <w:rPr>
      <w:rFonts w:ascii="Cambria" w:eastAsia="Times New Roman" w:hAnsi="Cambria" w:cs="Cambria"/>
      <w:sz w:val="20"/>
      <w:szCs w:val="20"/>
      <w:lang w:val="es-ES_tradnl" w:eastAsia="es-MX"/>
    </w:rPr>
  </w:style>
  <w:style w:type="character" w:customStyle="1" w:styleId="TextocomentarioCar">
    <w:name w:val="Texto comentario Car"/>
    <w:link w:val="Textocomentario"/>
    <w:rsid w:val="00E47DEC"/>
    <w:rPr>
      <w:rFonts w:ascii="Cambria" w:hAnsi="Cambria" w:cs="Cambria"/>
      <w:lang w:val="es-ES_tradnl"/>
    </w:rPr>
  </w:style>
  <w:style w:type="paragraph" w:customStyle="1" w:styleId="BalloonText">
    <w:name w:val="Balloon Text"/>
    <w:basedOn w:val="Normal"/>
    <w:rsid w:val="00E47DEC"/>
    <w:pPr>
      <w:spacing w:after="0" w:line="240" w:lineRule="auto"/>
    </w:pPr>
    <w:rPr>
      <w:rFonts w:ascii="Lucida Grande" w:eastAsia="Times New Roman" w:hAnsi="Lucida Grande" w:cs="Lucida Grande"/>
      <w:sz w:val="18"/>
      <w:szCs w:val="20"/>
      <w:lang w:val="es-ES_tradnl" w:eastAsia="es-MX"/>
    </w:rPr>
  </w:style>
  <w:style w:type="paragraph" w:customStyle="1" w:styleId="Frotiregular">
    <w:name w:val="Frotiregular"/>
    <w:basedOn w:val="Encabezado"/>
    <w:rsid w:val="00E47DEC"/>
    <w:pPr>
      <w:tabs>
        <w:tab w:val="clear" w:pos="4419"/>
        <w:tab w:val="clear" w:pos="8838"/>
      </w:tabs>
      <w:spacing w:after="0" w:line="240" w:lineRule="auto"/>
    </w:pPr>
    <w:rPr>
      <w:rFonts w:ascii="R Frutiger Roman" w:eastAsia="Times New Roman" w:hAnsi="R Frutiger Roman" w:cs="R Frutiger Roman"/>
      <w:sz w:val="24"/>
      <w:szCs w:val="20"/>
      <w:lang w:val="es-ES" w:eastAsia="es-MX"/>
    </w:rPr>
  </w:style>
  <w:style w:type="paragraph" w:customStyle="1" w:styleId="PlainText">
    <w:name w:val="Plain Text"/>
    <w:basedOn w:val="Normal"/>
    <w:rsid w:val="00E47DEC"/>
    <w:pPr>
      <w:spacing w:after="0" w:line="240" w:lineRule="auto"/>
    </w:pPr>
    <w:rPr>
      <w:rFonts w:ascii="Courier New" w:eastAsia="Times New Roman" w:hAnsi="Courier New" w:cs="Courier New"/>
      <w:sz w:val="20"/>
      <w:szCs w:val="20"/>
      <w:lang w:val="es-ES" w:eastAsia="es-MX"/>
    </w:rPr>
  </w:style>
  <w:style w:type="paragraph" w:customStyle="1" w:styleId="annotationsubject">
    <w:name w:val="annotation subject"/>
    <w:basedOn w:val="Textocomentario"/>
    <w:next w:val="Textocomentario"/>
    <w:rsid w:val="00E47DEC"/>
    <w:rPr>
      <w:b/>
    </w:rPr>
  </w:style>
  <w:style w:type="paragraph" w:customStyle="1" w:styleId="textgral2">
    <w:name w:val="text_gral2"/>
    <w:basedOn w:val="Normal"/>
    <w:rsid w:val="00E47DEC"/>
    <w:pPr>
      <w:spacing w:after="120" w:line="240" w:lineRule="auto"/>
      <w:ind w:left="120"/>
    </w:pPr>
    <w:rPr>
      <w:rFonts w:ascii="Times New Roman" w:eastAsia="Times New Roman" w:hAnsi="Times New Roman"/>
      <w:color w:val="800000"/>
      <w:szCs w:val="20"/>
      <w:lang w:eastAsia="es-MX"/>
    </w:rPr>
  </w:style>
  <w:style w:type="paragraph" w:customStyle="1" w:styleId="Default">
    <w:name w:val="Default"/>
    <w:rsid w:val="00E47DEC"/>
    <w:rPr>
      <w:rFonts w:ascii="Arial" w:hAnsi="Arial" w:cs="Arial"/>
      <w:color w:val="000000"/>
      <w:sz w:val="24"/>
    </w:rPr>
  </w:style>
  <w:style w:type="character" w:styleId="Refdenotaalpie">
    <w:name w:val="footnote reference"/>
    <w:rsid w:val="004D734B"/>
    <w:rPr>
      <w:vertAlign w:val="superscript"/>
    </w:rPr>
  </w:style>
  <w:style w:type="character" w:customStyle="1" w:styleId="PrrafodelistaCar">
    <w:name w:val="Párrafo de lista Car"/>
    <w:link w:val="Prrafodelista"/>
    <w:uiPriority w:val="34"/>
    <w:rsid w:val="00CB5CD7"/>
    <w:rPr>
      <w:sz w:val="24"/>
      <w:lang w:val="es-ES"/>
    </w:rPr>
  </w:style>
  <w:style w:type="character" w:styleId="Refdenotaalfinal">
    <w:name w:val="endnote reference"/>
    <w:rsid w:val="000E1938"/>
    <w:rPr>
      <w:vertAlign w:val="superscript"/>
    </w:rPr>
  </w:style>
  <w:style w:type="paragraph" w:styleId="Textodeglobo">
    <w:name w:val="Balloon Text"/>
    <w:basedOn w:val="Normal"/>
    <w:link w:val="TextodegloboCar"/>
    <w:rsid w:val="007A4709"/>
    <w:pPr>
      <w:spacing w:after="0" w:line="240" w:lineRule="auto"/>
    </w:pPr>
    <w:rPr>
      <w:rFonts w:ascii="Tahoma" w:hAnsi="Tahoma" w:cs="Tahoma"/>
      <w:sz w:val="16"/>
      <w:szCs w:val="16"/>
    </w:rPr>
  </w:style>
  <w:style w:type="character" w:customStyle="1" w:styleId="TextodegloboCar">
    <w:name w:val="Texto de globo Car"/>
    <w:link w:val="Textodeglobo"/>
    <w:rsid w:val="007A4709"/>
    <w:rPr>
      <w:rFonts w:ascii="Tahoma" w:eastAsia="Calibri" w:hAnsi="Tahoma" w:cs="Tahoma"/>
      <w:sz w:val="16"/>
      <w:szCs w:val="16"/>
      <w:lang w:eastAsia="en-US"/>
    </w:rPr>
  </w:style>
  <w:style w:type="paragraph" w:customStyle="1" w:styleId="Sumario">
    <w:name w:val="Sumario"/>
    <w:basedOn w:val="Normal"/>
    <w:rsid w:val="00CD6E8B"/>
    <w:pPr>
      <w:tabs>
        <w:tab w:val="right" w:leader="dot" w:pos="8107"/>
        <w:tab w:val="right" w:pos="8640"/>
      </w:tabs>
      <w:spacing w:after="0" w:line="260" w:lineRule="exact"/>
      <w:ind w:left="274" w:right="749"/>
      <w:jc w:val="both"/>
    </w:pPr>
    <w:rPr>
      <w:rFonts w:ascii="Arial" w:eastAsia="Times New Roman" w:hAnsi="Arial"/>
      <w:sz w:val="18"/>
      <w:szCs w:val="18"/>
      <w:lang w:val="es-ES" w:eastAsia="es-ES"/>
    </w:rPr>
  </w:style>
  <w:style w:type="paragraph" w:customStyle="1" w:styleId="Secreta">
    <w:name w:val="Secreta"/>
    <w:basedOn w:val="Normal"/>
    <w:autoRedefine/>
    <w:rsid w:val="00CD6E8B"/>
    <w:pPr>
      <w:tabs>
        <w:tab w:val="right" w:leader="dot" w:pos="8100"/>
        <w:tab w:val="right" w:pos="8640"/>
      </w:tabs>
      <w:spacing w:after="0" w:line="334" w:lineRule="exact"/>
      <w:ind w:left="274" w:right="749"/>
      <w:jc w:val="both"/>
    </w:pPr>
    <w:rPr>
      <w:rFonts w:ascii="Times New Roman" w:eastAsia="Times New Roman" w:hAnsi="Times New Roman"/>
      <w:b/>
      <w:sz w:val="20"/>
      <w:szCs w:val="20"/>
      <w:u w:val="single"/>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mendez\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1</TotalTime>
  <Pages>2</Pages>
  <Words>1150</Words>
  <Characters>6330</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lpstr>
    </vt:vector>
  </TitlesOfParts>
  <Company>Diario Oficial de la Federación</Company>
  <LinksUpToDate>false</LinksUpToDate>
  <CharactersWithSpaces>7466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DOF</dc:creator>
  <cp:lastModifiedBy>Usuario</cp:lastModifiedBy>
  <cp:revision>2</cp:revision>
  <cp:lastPrinted>2013-12-28T02:47:00Z</cp:lastPrinted>
  <dcterms:created xsi:type="dcterms:W3CDTF">2014-02-03T20:52:00Z</dcterms:created>
  <dcterms:modified xsi:type="dcterms:W3CDTF">2014-02-03T20:52:00Z</dcterms:modified>
</cp:coreProperties>
</file>