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Y="922"/>
        <w:tblW w:w="13291" w:type="dxa"/>
        <w:tblLook w:val="04A0" w:firstRow="1" w:lastRow="0" w:firstColumn="1" w:lastColumn="0" w:noHBand="0" w:noVBand="1"/>
      </w:tblPr>
      <w:tblGrid>
        <w:gridCol w:w="2992"/>
        <w:gridCol w:w="3637"/>
        <w:gridCol w:w="6662"/>
      </w:tblGrid>
      <w:tr w:rsidR="00A36FA5" w:rsidRPr="00BA4970" w:rsidTr="00F25686">
        <w:tc>
          <w:tcPr>
            <w:tcW w:w="2992" w:type="dxa"/>
            <w:vMerge w:val="restart"/>
          </w:tcPr>
          <w:p w:rsidR="00A36FA5" w:rsidRPr="00BA4970" w:rsidRDefault="00A36FA5" w:rsidP="00F25686">
            <w:pPr>
              <w:jc w:val="center"/>
              <w:rPr>
                <w:rFonts w:ascii="Century Gothic" w:hAnsi="Century Gothic" w:cs="Arial"/>
                <w:sz w:val="18"/>
                <w:szCs w:val="18"/>
              </w:rPr>
            </w:pPr>
            <w:bookmarkStart w:id="0" w:name="_GoBack"/>
            <w:bookmarkEnd w:id="0"/>
          </w:p>
          <w:p w:rsidR="00A36FA5" w:rsidRPr="00BA4970" w:rsidRDefault="00A36FA5" w:rsidP="00F25686">
            <w:pPr>
              <w:jc w:val="center"/>
              <w:rPr>
                <w:rFonts w:ascii="Century Gothic" w:hAnsi="Century Gothic" w:cs="Arial"/>
                <w:sz w:val="18"/>
                <w:szCs w:val="18"/>
              </w:rPr>
            </w:pPr>
          </w:p>
          <w:p w:rsidR="00A36FA5" w:rsidRDefault="00A36FA5" w:rsidP="00F25686">
            <w:pPr>
              <w:jc w:val="center"/>
              <w:rPr>
                <w:rFonts w:ascii="Century Gothic" w:hAnsi="Century Gothic" w:cs="Arial"/>
                <w:sz w:val="18"/>
                <w:szCs w:val="18"/>
              </w:rPr>
            </w:pPr>
          </w:p>
          <w:p w:rsidR="00A36FA5" w:rsidRDefault="00A36FA5" w:rsidP="00F25686">
            <w:pPr>
              <w:jc w:val="center"/>
              <w:rPr>
                <w:rFonts w:ascii="Century Gothic" w:hAnsi="Century Gothic" w:cs="Arial"/>
                <w:noProof/>
                <w:sz w:val="18"/>
                <w:szCs w:val="18"/>
              </w:rPr>
            </w:pPr>
          </w:p>
          <w:p w:rsidR="00A36FA5" w:rsidRDefault="00A36FA5" w:rsidP="00F25686">
            <w:pPr>
              <w:jc w:val="center"/>
              <w:rPr>
                <w:rFonts w:ascii="Century Gothic" w:hAnsi="Century Gothic" w:cs="Arial"/>
                <w:noProof/>
                <w:sz w:val="18"/>
                <w:szCs w:val="18"/>
              </w:rPr>
            </w:pPr>
          </w:p>
          <w:p w:rsidR="00A36FA5" w:rsidRDefault="00A36FA5" w:rsidP="00F25686">
            <w:pPr>
              <w:jc w:val="center"/>
              <w:rPr>
                <w:rFonts w:ascii="Century Gothic" w:hAnsi="Century Gothic" w:cs="Arial"/>
                <w:noProof/>
                <w:sz w:val="18"/>
                <w:szCs w:val="18"/>
              </w:rPr>
            </w:pPr>
          </w:p>
          <w:p w:rsidR="00A36FA5" w:rsidRDefault="00A36FA5" w:rsidP="00F25686">
            <w:pPr>
              <w:jc w:val="center"/>
              <w:rPr>
                <w:rFonts w:ascii="Century Gothic" w:hAnsi="Century Gothic" w:cs="Arial"/>
                <w:noProof/>
                <w:sz w:val="18"/>
                <w:szCs w:val="18"/>
              </w:rPr>
            </w:pPr>
          </w:p>
          <w:p w:rsidR="00A36FA5" w:rsidRDefault="00A36FA5" w:rsidP="00F25686">
            <w:pPr>
              <w:jc w:val="center"/>
              <w:rPr>
                <w:rFonts w:ascii="Century Gothic" w:hAnsi="Century Gothic" w:cs="Arial"/>
                <w:noProof/>
                <w:sz w:val="18"/>
                <w:szCs w:val="18"/>
              </w:rPr>
            </w:pPr>
          </w:p>
          <w:p w:rsidR="00A36FA5" w:rsidRDefault="00A36FA5" w:rsidP="00F25686">
            <w:pPr>
              <w:jc w:val="center"/>
              <w:rPr>
                <w:rFonts w:ascii="Century Gothic" w:hAnsi="Century Gothic" w:cs="Arial"/>
                <w:noProof/>
                <w:sz w:val="18"/>
                <w:szCs w:val="18"/>
              </w:rPr>
            </w:pPr>
          </w:p>
          <w:p w:rsidR="00A36FA5" w:rsidRDefault="00A36FA5" w:rsidP="00F25686">
            <w:pPr>
              <w:jc w:val="center"/>
              <w:rPr>
                <w:rFonts w:ascii="Century Gothic" w:hAnsi="Century Gothic" w:cs="Arial"/>
                <w:noProof/>
                <w:sz w:val="18"/>
                <w:szCs w:val="18"/>
              </w:rPr>
            </w:pPr>
          </w:p>
          <w:p w:rsidR="00A36FA5" w:rsidRDefault="00A36FA5" w:rsidP="00F25686">
            <w:pPr>
              <w:jc w:val="center"/>
              <w:rPr>
                <w:rFonts w:ascii="Century Gothic" w:hAnsi="Century Gothic" w:cs="Arial"/>
                <w:noProof/>
                <w:sz w:val="18"/>
                <w:szCs w:val="18"/>
              </w:rPr>
            </w:pPr>
          </w:p>
          <w:p w:rsidR="00A36FA5" w:rsidRDefault="00A36FA5" w:rsidP="00F25686">
            <w:pPr>
              <w:jc w:val="center"/>
              <w:rPr>
                <w:rFonts w:ascii="Century Gothic" w:hAnsi="Century Gothic" w:cs="Arial"/>
                <w:noProof/>
                <w:sz w:val="18"/>
                <w:szCs w:val="18"/>
              </w:rPr>
            </w:pPr>
          </w:p>
          <w:p w:rsidR="00483460" w:rsidRDefault="00483460" w:rsidP="00F25686">
            <w:pPr>
              <w:jc w:val="center"/>
              <w:rPr>
                <w:rFonts w:ascii="Century Gothic" w:hAnsi="Century Gothic" w:cs="Arial"/>
                <w:noProof/>
                <w:sz w:val="18"/>
                <w:szCs w:val="18"/>
              </w:rPr>
            </w:pPr>
          </w:p>
          <w:p w:rsidR="00483460" w:rsidRDefault="00483460" w:rsidP="00F25686">
            <w:pPr>
              <w:jc w:val="center"/>
              <w:rPr>
                <w:rFonts w:ascii="Century Gothic" w:hAnsi="Century Gothic" w:cs="Arial"/>
                <w:noProof/>
                <w:sz w:val="18"/>
                <w:szCs w:val="18"/>
              </w:rPr>
            </w:pPr>
          </w:p>
          <w:p w:rsidR="00483460" w:rsidRDefault="00483460" w:rsidP="00483460">
            <w:pPr>
              <w:rPr>
                <w:rFonts w:ascii="Century Gothic" w:hAnsi="Century Gothic" w:cs="Arial"/>
                <w:noProof/>
                <w:sz w:val="18"/>
                <w:szCs w:val="18"/>
              </w:rPr>
            </w:pPr>
          </w:p>
          <w:p w:rsidR="00483460" w:rsidRDefault="00483460" w:rsidP="00F25686">
            <w:pPr>
              <w:jc w:val="center"/>
              <w:rPr>
                <w:rFonts w:ascii="Century Gothic" w:hAnsi="Century Gothic" w:cs="Arial"/>
                <w:noProof/>
                <w:sz w:val="18"/>
                <w:szCs w:val="18"/>
              </w:rPr>
            </w:pPr>
          </w:p>
          <w:p w:rsidR="00483460" w:rsidRDefault="00483460" w:rsidP="00F25686">
            <w:pPr>
              <w:jc w:val="center"/>
              <w:rPr>
                <w:rFonts w:ascii="Century Gothic" w:hAnsi="Century Gothic" w:cs="Arial"/>
                <w:noProof/>
                <w:sz w:val="18"/>
                <w:szCs w:val="18"/>
              </w:rPr>
            </w:pPr>
            <w:r>
              <w:rPr>
                <w:rFonts w:ascii="Century Gothic" w:hAnsi="Century Gothic" w:cs="Arial"/>
                <w:noProof/>
                <w:sz w:val="18"/>
                <w:szCs w:val="18"/>
              </w:rPr>
              <w:drawing>
                <wp:anchor distT="0" distB="0" distL="114300" distR="114300" simplePos="0" relativeHeight="251659264" behindDoc="0" locked="0" layoutInCell="1" allowOverlap="1">
                  <wp:simplePos x="0" y="0"/>
                  <wp:positionH relativeFrom="column">
                    <wp:posOffset>339090</wp:posOffset>
                  </wp:positionH>
                  <wp:positionV relativeFrom="paragraph">
                    <wp:posOffset>74930</wp:posOffset>
                  </wp:positionV>
                  <wp:extent cx="1280160" cy="817880"/>
                  <wp:effectExtent l="0" t="0" r="0" b="0"/>
                  <wp:wrapThrough wrapText="bothSides">
                    <wp:wrapPolygon edited="0">
                      <wp:start x="0" y="0"/>
                      <wp:lineTo x="0" y="21130"/>
                      <wp:lineTo x="21214" y="21130"/>
                      <wp:lineTo x="21214" y="0"/>
                      <wp:lineTo x="0" y="0"/>
                    </wp:wrapPolygon>
                  </wp:wrapThrough>
                  <wp:docPr id="9" name="Imagen 1" descr="logo-orfis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fis150"/>
                          <pic:cNvPicPr>
                            <a:picLocks noChangeAspect="1" noChangeArrowheads="1"/>
                          </pic:cNvPicPr>
                        </pic:nvPicPr>
                        <pic:blipFill>
                          <a:blip r:embed="rId5" cstate="print"/>
                          <a:srcRect/>
                          <a:stretch>
                            <a:fillRect/>
                          </a:stretch>
                        </pic:blipFill>
                        <pic:spPr bwMode="auto">
                          <a:xfrm>
                            <a:off x="0" y="0"/>
                            <a:ext cx="1280160" cy="817880"/>
                          </a:xfrm>
                          <a:prstGeom prst="rect">
                            <a:avLst/>
                          </a:prstGeom>
                          <a:noFill/>
                          <a:ln w="9525">
                            <a:noFill/>
                            <a:miter lim="800000"/>
                            <a:headEnd/>
                            <a:tailEnd/>
                          </a:ln>
                        </pic:spPr>
                      </pic:pic>
                    </a:graphicData>
                  </a:graphic>
                </wp:anchor>
              </w:drawing>
            </w:r>
          </w:p>
          <w:p w:rsidR="00483460" w:rsidRDefault="00483460" w:rsidP="00F25686">
            <w:pPr>
              <w:jc w:val="center"/>
              <w:rPr>
                <w:rFonts w:ascii="Century Gothic" w:hAnsi="Century Gothic" w:cs="Arial"/>
                <w:noProof/>
                <w:sz w:val="18"/>
                <w:szCs w:val="18"/>
              </w:rPr>
            </w:pPr>
          </w:p>
          <w:p w:rsidR="00483460" w:rsidRDefault="00483460" w:rsidP="00F25686">
            <w:pPr>
              <w:jc w:val="center"/>
              <w:rPr>
                <w:rFonts w:ascii="Century Gothic" w:hAnsi="Century Gothic" w:cs="Arial"/>
                <w:noProof/>
                <w:sz w:val="18"/>
                <w:szCs w:val="18"/>
              </w:rPr>
            </w:pPr>
          </w:p>
          <w:p w:rsidR="00483460" w:rsidRDefault="00483460" w:rsidP="00F25686">
            <w:pPr>
              <w:jc w:val="center"/>
              <w:rPr>
                <w:rFonts w:ascii="Century Gothic" w:hAnsi="Century Gothic" w:cs="Arial"/>
                <w:noProof/>
                <w:sz w:val="18"/>
                <w:szCs w:val="18"/>
              </w:rPr>
            </w:pPr>
          </w:p>
          <w:p w:rsidR="00483460" w:rsidRDefault="00483460" w:rsidP="00F25686">
            <w:pPr>
              <w:jc w:val="center"/>
              <w:rPr>
                <w:rFonts w:ascii="Century Gothic" w:hAnsi="Century Gothic" w:cs="Arial"/>
                <w:noProof/>
                <w:sz w:val="18"/>
                <w:szCs w:val="18"/>
              </w:rPr>
            </w:pPr>
          </w:p>
          <w:p w:rsidR="00483460" w:rsidRDefault="00483460" w:rsidP="00F25686">
            <w:pPr>
              <w:jc w:val="center"/>
              <w:rPr>
                <w:rFonts w:ascii="Century Gothic" w:hAnsi="Century Gothic" w:cs="Arial"/>
                <w:noProof/>
                <w:sz w:val="18"/>
                <w:szCs w:val="18"/>
              </w:rPr>
            </w:pPr>
          </w:p>
          <w:p w:rsidR="00A36FA5" w:rsidRDefault="00A36FA5" w:rsidP="00F25686">
            <w:pPr>
              <w:jc w:val="center"/>
              <w:rPr>
                <w:rFonts w:ascii="Century Gothic" w:hAnsi="Century Gothic" w:cs="Arial"/>
                <w:noProof/>
                <w:sz w:val="18"/>
                <w:szCs w:val="18"/>
              </w:rPr>
            </w:pPr>
          </w:p>
          <w:p w:rsidR="00A36FA5" w:rsidRDefault="00A36FA5"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483460">
            <w:pP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r>
              <w:rPr>
                <w:rFonts w:ascii="Century Gothic" w:hAnsi="Century Gothic" w:cs="Arial"/>
                <w:noProof/>
                <w:sz w:val="18"/>
                <w:szCs w:val="18"/>
              </w:rPr>
              <w:drawing>
                <wp:anchor distT="0" distB="0" distL="114300" distR="114300" simplePos="0" relativeHeight="251661312" behindDoc="0" locked="0" layoutInCell="1" allowOverlap="1">
                  <wp:simplePos x="0" y="0"/>
                  <wp:positionH relativeFrom="column">
                    <wp:posOffset>203835</wp:posOffset>
                  </wp:positionH>
                  <wp:positionV relativeFrom="paragraph">
                    <wp:posOffset>21590</wp:posOffset>
                  </wp:positionV>
                  <wp:extent cx="1280160" cy="817880"/>
                  <wp:effectExtent l="0" t="0" r="0" b="0"/>
                  <wp:wrapThrough wrapText="bothSides">
                    <wp:wrapPolygon edited="0">
                      <wp:start x="0" y="0"/>
                      <wp:lineTo x="0" y="21130"/>
                      <wp:lineTo x="21214" y="21130"/>
                      <wp:lineTo x="21214" y="0"/>
                      <wp:lineTo x="0" y="0"/>
                    </wp:wrapPolygon>
                  </wp:wrapThrough>
                  <wp:docPr id="1" name="Imagen 1" descr="logo-orfis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fis150"/>
                          <pic:cNvPicPr>
                            <a:picLocks noChangeAspect="1" noChangeArrowheads="1"/>
                          </pic:cNvPicPr>
                        </pic:nvPicPr>
                        <pic:blipFill>
                          <a:blip r:embed="rId5" cstate="print"/>
                          <a:srcRect/>
                          <a:stretch>
                            <a:fillRect/>
                          </a:stretch>
                        </pic:blipFill>
                        <pic:spPr bwMode="auto">
                          <a:xfrm>
                            <a:off x="0" y="0"/>
                            <a:ext cx="1280160" cy="817880"/>
                          </a:xfrm>
                          <a:prstGeom prst="rect">
                            <a:avLst/>
                          </a:prstGeom>
                          <a:noFill/>
                          <a:ln w="9525">
                            <a:noFill/>
                            <a:miter lim="800000"/>
                            <a:headEnd/>
                            <a:tailEnd/>
                          </a:ln>
                        </pic:spPr>
                      </pic:pic>
                    </a:graphicData>
                  </a:graphic>
                </wp:anchor>
              </w:drawing>
            </w: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p>
          <w:p w:rsidR="00483460" w:rsidRDefault="00483460" w:rsidP="00F25686">
            <w:pPr>
              <w:jc w:val="center"/>
              <w:rPr>
                <w:rFonts w:ascii="Century Gothic" w:hAnsi="Century Gothic" w:cs="Arial"/>
                <w:sz w:val="18"/>
                <w:szCs w:val="18"/>
              </w:rPr>
            </w:pPr>
            <w:r>
              <w:rPr>
                <w:rFonts w:ascii="Century Gothic" w:hAnsi="Century Gothic" w:cs="Arial"/>
                <w:noProof/>
                <w:sz w:val="18"/>
                <w:szCs w:val="18"/>
              </w:rPr>
              <w:drawing>
                <wp:anchor distT="0" distB="0" distL="114300" distR="114300" simplePos="0" relativeHeight="251663360" behindDoc="0" locked="0" layoutInCell="1" allowOverlap="1">
                  <wp:simplePos x="0" y="0"/>
                  <wp:positionH relativeFrom="column">
                    <wp:posOffset>267970</wp:posOffset>
                  </wp:positionH>
                  <wp:positionV relativeFrom="paragraph">
                    <wp:posOffset>15240</wp:posOffset>
                  </wp:positionV>
                  <wp:extent cx="1280160" cy="817880"/>
                  <wp:effectExtent l="0" t="0" r="0" b="0"/>
                  <wp:wrapThrough wrapText="bothSides">
                    <wp:wrapPolygon edited="0">
                      <wp:start x="0" y="0"/>
                      <wp:lineTo x="0" y="21130"/>
                      <wp:lineTo x="21214" y="21130"/>
                      <wp:lineTo x="21214" y="0"/>
                      <wp:lineTo x="0" y="0"/>
                    </wp:wrapPolygon>
                  </wp:wrapThrough>
                  <wp:docPr id="2" name="Imagen 1" descr="logo-orfis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fis150"/>
                          <pic:cNvPicPr>
                            <a:picLocks noChangeAspect="1" noChangeArrowheads="1"/>
                          </pic:cNvPicPr>
                        </pic:nvPicPr>
                        <pic:blipFill>
                          <a:blip r:embed="rId5" cstate="print"/>
                          <a:srcRect/>
                          <a:stretch>
                            <a:fillRect/>
                          </a:stretch>
                        </pic:blipFill>
                        <pic:spPr bwMode="auto">
                          <a:xfrm>
                            <a:off x="0" y="0"/>
                            <a:ext cx="1280160" cy="817880"/>
                          </a:xfrm>
                          <a:prstGeom prst="rect">
                            <a:avLst/>
                          </a:prstGeom>
                          <a:noFill/>
                          <a:ln w="9525">
                            <a:noFill/>
                            <a:miter lim="800000"/>
                            <a:headEnd/>
                            <a:tailEnd/>
                          </a:ln>
                        </pic:spPr>
                      </pic:pic>
                    </a:graphicData>
                  </a:graphic>
                </wp:anchor>
              </w:drawing>
            </w:r>
          </w:p>
          <w:p w:rsidR="00483460" w:rsidRPr="0065282D" w:rsidRDefault="00483460" w:rsidP="00F25686">
            <w:pPr>
              <w:jc w:val="center"/>
              <w:rPr>
                <w:rFonts w:ascii="Century Gothic" w:hAnsi="Century Gothic" w:cs="Arial"/>
                <w:sz w:val="18"/>
                <w:szCs w:val="18"/>
              </w:rPr>
            </w:pPr>
          </w:p>
        </w:tc>
        <w:tc>
          <w:tcPr>
            <w:tcW w:w="3637" w:type="dxa"/>
          </w:tcPr>
          <w:p w:rsidR="00A36FA5" w:rsidRPr="00BA4970" w:rsidRDefault="00A36FA5" w:rsidP="00F25686">
            <w:pPr>
              <w:jc w:val="center"/>
              <w:rPr>
                <w:rFonts w:ascii="Century Gothic" w:hAnsi="Century Gothic" w:cs="Arial"/>
                <w:b/>
                <w:sz w:val="18"/>
                <w:szCs w:val="18"/>
              </w:rPr>
            </w:pPr>
            <w:r w:rsidRPr="00BA4970">
              <w:rPr>
                <w:rFonts w:ascii="Century Gothic" w:hAnsi="Century Gothic" w:cs="Arial"/>
                <w:b/>
                <w:sz w:val="18"/>
                <w:szCs w:val="18"/>
              </w:rPr>
              <w:lastRenderedPageBreak/>
              <w:t>Concepto</w:t>
            </w:r>
          </w:p>
        </w:tc>
        <w:tc>
          <w:tcPr>
            <w:tcW w:w="6662" w:type="dxa"/>
          </w:tcPr>
          <w:p w:rsidR="00A36FA5" w:rsidRPr="00BA4970" w:rsidRDefault="00A36FA5" w:rsidP="00F25686">
            <w:pPr>
              <w:jc w:val="center"/>
              <w:rPr>
                <w:rFonts w:ascii="Century Gothic" w:hAnsi="Century Gothic" w:cs="Arial"/>
                <w:b/>
                <w:sz w:val="18"/>
                <w:szCs w:val="18"/>
              </w:rPr>
            </w:pPr>
            <w:r w:rsidRPr="00BA4970">
              <w:rPr>
                <w:rFonts w:ascii="Century Gothic" w:hAnsi="Century Gothic" w:cs="Arial"/>
                <w:b/>
                <w:sz w:val="18"/>
                <w:szCs w:val="18"/>
              </w:rPr>
              <w:t>Dónde:</w:t>
            </w:r>
          </w:p>
        </w:tc>
      </w:tr>
      <w:tr w:rsidR="00A36FA5" w:rsidRPr="00BA4970" w:rsidTr="00F25686">
        <w:tc>
          <w:tcPr>
            <w:tcW w:w="2992" w:type="dxa"/>
            <w:vMerge/>
          </w:tcPr>
          <w:p w:rsidR="00A36FA5" w:rsidRPr="00BA4970" w:rsidRDefault="00A36FA5" w:rsidP="00F25686">
            <w:pPr>
              <w:jc w:val="center"/>
              <w:rPr>
                <w:rFonts w:ascii="Century Gothic" w:hAnsi="Century Gothic" w:cs="Arial"/>
                <w:b/>
                <w:sz w:val="18"/>
                <w:szCs w:val="18"/>
              </w:rPr>
            </w:pPr>
          </w:p>
        </w:tc>
        <w:tc>
          <w:tcPr>
            <w:tcW w:w="3637" w:type="dxa"/>
          </w:tcPr>
          <w:p w:rsidR="00A36FA5" w:rsidRPr="00BA4970" w:rsidRDefault="00A36FA5" w:rsidP="00F25686">
            <w:pPr>
              <w:jc w:val="center"/>
              <w:rPr>
                <w:rFonts w:ascii="Century Gothic" w:hAnsi="Century Gothic" w:cs="Arial"/>
                <w:sz w:val="18"/>
                <w:szCs w:val="18"/>
              </w:rPr>
            </w:pPr>
            <w:r w:rsidRPr="00BA4970">
              <w:rPr>
                <w:rFonts w:ascii="Century Gothic" w:hAnsi="Century Gothic" w:cs="Arial"/>
                <w:sz w:val="18"/>
                <w:szCs w:val="18"/>
              </w:rPr>
              <w:t>Fecha de clasificación</w:t>
            </w:r>
          </w:p>
        </w:tc>
        <w:tc>
          <w:tcPr>
            <w:tcW w:w="6662" w:type="dxa"/>
          </w:tcPr>
          <w:p w:rsidR="00A36FA5" w:rsidRPr="00BA4970" w:rsidRDefault="00A36FA5" w:rsidP="00F25686">
            <w:pPr>
              <w:rPr>
                <w:rFonts w:ascii="Century Gothic" w:hAnsi="Century Gothic" w:cs="Arial"/>
                <w:sz w:val="18"/>
                <w:szCs w:val="18"/>
              </w:rPr>
            </w:pPr>
            <w:r w:rsidRPr="002F6338">
              <w:rPr>
                <w:rFonts w:ascii="Century Gothic" w:hAnsi="Century Gothic" w:cs="Arial"/>
                <w:sz w:val="20"/>
                <w:szCs w:val="20"/>
              </w:rPr>
              <w:t>24 de agosto de 2016</w:t>
            </w:r>
          </w:p>
        </w:tc>
      </w:tr>
      <w:tr w:rsidR="00A36FA5" w:rsidRPr="00BA4970" w:rsidTr="00F25686">
        <w:tc>
          <w:tcPr>
            <w:tcW w:w="2992" w:type="dxa"/>
            <w:vMerge/>
          </w:tcPr>
          <w:p w:rsidR="00A36FA5" w:rsidRPr="00BA4970" w:rsidRDefault="00A36FA5" w:rsidP="00F25686">
            <w:pPr>
              <w:rPr>
                <w:rFonts w:ascii="Century Gothic" w:hAnsi="Century Gothic" w:cs="Arial"/>
                <w:sz w:val="18"/>
                <w:szCs w:val="18"/>
              </w:rPr>
            </w:pPr>
          </w:p>
        </w:tc>
        <w:tc>
          <w:tcPr>
            <w:tcW w:w="3637" w:type="dxa"/>
          </w:tcPr>
          <w:p w:rsidR="00A36FA5" w:rsidRPr="00BA4970" w:rsidRDefault="00A36FA5" w:rsidP="00F25686">
            <w:pPr>
              <w:jc w:val="center"/>
              <w:rPr>
                <w:rFonts w:ascii="Century Gothic" w:hAnsi="Century Gothic" w:cs="Arial"/>
                <w:sz w:val="18"/>
                <w:szCs w:val="18"/>
              </w:rPr>
            </w:pPr>
            <w:r w:rsidRPr="00BA4970">
              <w:rPr>
                <w:rFonts w:ascii="Century Gothic" w:hAnsi="Century Gothic" w:cs="Arial"/>
                <w:sz w:val="18"/>
                <w:szCs w:val="18"/>
              </w:rPr>
              <w:t>Área</w:t>
            </w:r>
          </w:p>
        </w:tc>
        <w:tc>
          <w:tcPr>
            <w:tcW w:w="6662" w:type="dxa"/>
          </w:tcPr>
          <w:p w:rsidR="00A36FA5" w:rsidRPr="00BA4970" w:rsidRDefault="00A36FA5" w:rsidP="00F25686">
            <w:pPr>
              <w:rPr>
                <w:rFonts w:ascii="Century Gothic" w:hAnsi="Century Gothic" w:cs="Arial"/>
                <w:sz w:val="18"/>
                <w:szCs w:val="18"/>
              </w:rPr>
            </w:pPr>
            <w:r w:rsidRPr="00BA4970">
              <w:rPr>
                <w:rFonts w:ascii="Century Gothic" w:hAnsi="Century Gothic" w:cs="Arial"/>
                <w:sz w:val="18"/>
                <w:szCs w:val="18"/>
              </w:rPr>
              <w:t>Dirección General de Asuntos Jurídicos</w:t>
            </w:r>
          </w:p>
          <w:p w:rsidR="00A36FA5" w:rsidRPr="00BA4970" w:rsidRDefault="00A36FA5" w:rsidP="00F25686">
            <w:pPr>
              <w:rPr>
                <w:rFonts w:ascii="Century Gothic" w:hAnsi="Century Gothic" w:cs="Arial"/>
                <w:sz w:val="18"/>
                <w:szCs w:val="18"/>
              </w:rPr>
            </w:pPr>
            <w:r w:rsidRPr="00BA4970">
              <w:rPr>
                <w:rFonts w:ascii="Century Gothic" w:hAnsi="Century Gothic" w:cs="Arial"/>
                <w:sz w:val="18"/>
                <w:szCs w:val="18"/>
              </w:rPr>
              <w:t>Auditoría Especial de Fiscalización a Cuentas Públicas</w:t>
            </w:r>
          </w:p>
        </w:tc>
      </w:tr>
      <w:tr w:rsidR="00A36FA5" w:rsidRPr="00BA4970" w:rsidTr="00F25686">
        <w:tc>
          <w:tcPr>
            <w:tcW w:w="2992" w:type="dxa"/>
            <w:vMerge/>
          </w:tcPr>
          <w:p w:rsidR="00A36FA5" w:rsidRPr="00BA4970" w:rsidRDefault="00A36FA5" w:rsidP="00F25686">
            <w:pPr>
              <w:rPr>
                <w:rFonts w:ascii="Century Gothic" w:hAnsi="Century Gothic" w:cs="Arial"/>
                <w:sz w:val="18"/>
                <w:szCs w:val="18"/>
              </w:rPr>
            </w:pPr>
          </w:p>
        </w:tc>
        <w:tc>
          <w:tcPr>
            <w:tcW w:w="3637" w:type="dxa"/>
          </w:tcPr>
          <w:p w:rsidR="00A36FA5" w:rsidRPr="00BA4970" w:rsidRDefault="00A36FA5" w:rsidP="00F25686">
            <w:pPr>
              <w:jc w:val="center"/>
              <w:rPr>
                <w:rFonts w:ascii="Century Gothic" w:hAnsi="Century Gothic" w:cs="Arial"/>
                <w:sz w:val="18"/>
                <w:szCs w:val="18"/>
              </w:rPr>
            </w:pPr>
            <w:r w:rsidRPr="00BA4970">
              <w:rPr>
                <w:rFonts w:ascii="Century Gothic" w:hAnsi="Century Gothic" w:cs="Arial"/>
                <w:sz w:val="18"/>
                <w:szCs w:val="18"/>
              </w:rPr>
              <w:t>Información reservada</w:t>
            </w:r>
          </w:p>
        </w:tc>
        <w:tc>
          <w:tcPr>
            <w:tcW w:w="6662" w:type="dxa"/>
            <w:shd w:val="clear" w:color="auto" w:fill="auto"/>
          </w:tcPr>
          <w:p w:rsidR="00A36FA5" w:rsidRPr="00BA4970" w:rsidRDefault="00F35619" w:rsidP="00F25686">
            <w:pPr>
              <w:rPr>
                <w:rFonts w:ascii="Century Gothic" w:hAnsi="Century Gothic" w:cs="Arial"/>
                <w:sz w:val="18"/>
                <w:szCs w:val="18"/>
                <w:highlight w:val="yellow"/>
              </w:rPr>
            </w:pPr>
            <w:r w:rsidRPr="002B1429">
              <w:rPr>
                <w:rFonts w:ascii="Century Gothic" w:hAnsi="Century Gothic" w:cs="Arial"/>
                <w:sz w:val="20"/>
                <w:szCs w:val="20"/>
              </w:rPr>
              <w:t>Expedientes derivados del procedimiento de fiscalización superior de las cuentas públicas 2011, 2012, 2013 y 2014 correspondientes a los Entes Fiscalizables Estatales.</w:t>
            </w:r>
          </w:p>
        </w:tc>
      </w:tr>
      <w:tr w:rsidR="00A36FA5" w:rsidRPr="00BA4970" w:rsidTr="00F25686">
        <w:tc>
          <w:tcPr>
            <w:tcW w:w="2992" w:type="dxa"/>
            <w:vMerge/>
          </w:tcPr>
          <w:p w:rsidR="00A36FA5" w:rsidRPr="00BA4970" w:rsidRDefault="00A36FA5" w:rsidP="00F25686">
            <w:pPr>
              <w:rPr>
                <w:rFonts w:ascii="Century Gothic" w:hAnsi="Century Gothic" w:cs="Arial"/>
                <w:sz w:val="18"/>
                <w:szCs w:val="18"/>
              </w:rPr>
            </w:pPr>
          </w:p>
        </w:tc>
        <w:tc>
          <w:tcPr>
            <w:tcW w:w="3637" w:type="dxa"/>
            <w:tcBorders>
              <w:bottom w:val="single" w:sz="4" w:space="0" w:color="auto"/>
            </w:tcBorders>
          </w:tcPr>
          <w:p w:rsidR="00A36FA5" w:rsidRPr="00BA4970" w:rsidRDefault="00A36FA5" w:rsidP="00F25686">
            <w:pPr>
              <w:jc w:val="center"/>
              <w:rPr>
                <w:rFonts w:ascii="Century Gothic" w:hAnsi="Century Gothic" w:cs="Arial"/>
                <w:sz w:val="18"/>
                <w:szCs w:val="18"/>
              </w:rPr>
            </w:pPr>
            <w:r w:rsidRPr="00BA4970">
              <w:rPr>
                <w:rFonts w:ascii="Century Gothic" w:hAnsi="Century Gothic" w:cs="Arial"/>
                <w:sz w:val="18"/>
                <w:szCs w:val="18"/>
              </w:rPr>
              <w:t>Periodo de reserva</w:t>
            </w:r>
          </w:p>
        </w:tc>
        <w:tc>
          <w:tcPr>
            <w:tcW w:w="6662" w:type="dxa"/>
            <w:tcBorders>
              <w:bottom w:val="single" w:sz="4" w:space="0" w:color="auto"/>
            </w:tcBorders>
          </w:tcPr>
          <w:p w:rsidR="00F35619" w:rsidRPr="00BA4970" w:rsidRDefault="00A36FA5" w:rsidP="00F25686">
            <w:pPr>
              <w:rPr>
                <w:rFonts w:ascii="Century Gothic" w:hAnsi="Century Gothic" w:cs="Arial"/>
                <w:sz w:val="18"/>
                <w:szCs w:val="18"/>
              </w:rPr>
            </w:pPr>
            <w:r w:rsidRPr="00BA4970">
              <w:rPr>
                <w:rFonts w:ascii="Century Gothic" w:hAnsi="Century Gothic" w:cs="Arial"/>
                <w:sz w:val="18"/>
                <w:szCs w:val="18"/>
              </w:rPr>
              <w:t>Se reserva por evento hasta en tanto no exista resolución definitiva a las investigaciones correspondientes.</w:t>
            </w:r>
          </w:p>
        </w:tc>
      </w:tr>
      <w:tr w:rsidR="00A36FA5" w:rsidRPr="00BA4970" w:rsidTr="00F25686">
        <w:tc>
          <w:tcPr>
            <w:tcW w:w="2992" w:type="dxa"/>
            <w:vMerge/>
            <w:tcBorders>
              <w:right w:val="single" w:sz="4" w:space="0" w:color="auto"/>
            </w:tcBorders>
          </w:tcPr>
          <w:p w:rsidR="00A36FA5" w:rsidRPr="00BA4970" w:rsidRDefault="00A36FA5" w:rsidP="00F25686">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A36FA5" w:rsidRPr="00BA4970" w:rsidRDefault="00A36FA5" w:rsidP="00F25686">
            <w:pPr>
              <w:jc w:val="center"/>
              <w:rPr>
                <w:rFonts w:ascii="Century Gothic" w:hAnsi="Century Gothic" w:cs="Arial"/>
                <w:sz w:val="18"/>
                <w:szCs w:val="18"/>
              </w:rPr>
            </w:pPr>
            <w:r w:rsidRPr="00BA4970">
              <w:rPr>
                <w:rFonts w:ascii="Century Gothic" w:hAnsi="Century Gothic" w:cs="Arial"/>
                <w:sz w:val="18"/>
                <w:szCs w:val="18"/>
              </w:rPr>
              <w:t>Fundamento legal</w:t>
            </w:r>
          </w:p>
        </w:tc>
        <w:tc>
          <w:tcPr>
            <w:tcW w:w="6662" w:type="dxa"/>
            <w:tcBorders>
              <w:top w:val="single" w:sz="4" w:space="0" w:color="auto"/>
              <w:left w:val="single" w:sz="4" w:space="0" w:color="auto"/>
              <w:bottom w:val="single" w:sz="4" w:space="0" w:color="auto"/>
              <w:right w:val="single" w:sz="4" w:space="0" w:color="auto"/>
            </w:tcBorders>
          </w:tcPr>
          <w:p w:rsidR="00A36FA5" w:rsidRDefault="00A36FA5" w:rsidP="00F25686">
            <w:pPr>
              <w:rPr>
                <w:rFonts w:ascii="Century Gothic" w:hAnsi="Century Gothic" w:cs="Arial"/>
                <w:b/>
                <w:sz w:val="18"/>
                <w:szCs w:val="18"/>
              </w:rPr>
            </w:pPr>
            <w:r w:rsidRPr="00BA4970">
              <w:rPr>
                <w:rFonts w:ascii="Century Gothic" w:hAnsi="Century Gothic" w:cs="Arial"/>
                <w:b/>
                <w:sz w:val="18"/>
                <w:szCs w:val="18"/>
              </w:rPr>
              <w:t>Ley General de Transparencia y Acceso a la Información Pública:</w:t>
            </w:r>
          </w:p>
          <w:p w:rsidR="00F35619" w:rsidRPr="00BA4970" w:rsidRDefault="00F35619" w:rsidP="00F25686">
            <w:pPr>
              <w:rPr>
                <w:rFonts w:ascii="Century Gothic" w:hAnsi="Century Gothic" w:cs="Arial"/>
                <w:b/>
                <w:sz w:val="18"/>
                <w:szCs w:val="18"/>
              </w:rPr>
            </w:pPr>
          </w:p>
          <w:p w:rsidR="00A36FA5" w:rsidRDefault="00A36FA5" w:rsidP="00F25686">
            <w:pPr>
              <w:rPr>
                <w:rFonts w:ascii="Century Gothic" w:hAnsi="Century Gothic" w:cs="Arial"/>
                <w:i/>
                <w:sz w:val="18"/>
                <w:szCs w:val="18"/>
              </w:rPr>
            </w:pPr>
            <w:r w:rsidRPr="00A36FA5">
              <w:rPr>
                <w:rFonts w:ascii="Century Gothic" w:hAnsi="Century Gothic" w:cs="Arial"/>
                <w:i/>
                <w:sz w:val="18"/>
                <w:szCs w:val="18"/>
              </w:rPr>
              <w:t>Artículo 113. Como información reservada podrá clasificarse aquella cuya publicación:</w:t>
            </w:r>
          </w:p>
          <w:p w:rsidR="00A36FA5" w:rsidRDefault="00A36FA5" w:rsidP="00A36FA5">
            <w:pPr>
              <w:ind w:left="742" w:hanging="425"/>
              <w:rPr>
                <w:rFonts w:ascii="Century Gothic" w:hAnsi="Century Gothic" w:cs="Arial"/>
                <w:i/>
                <w:sz w:val="18"/>
                <w:szCs w:val="18"/>
              </w:rPr>
            </w:pPr>
            <w:r>
              <w:rPr>
                <w:rFonts w:ascii="Century Gothic" w:hAnsi="Century Gothic" w:cs="Arial"/>
                <w:i/>
                <w:sz w:val="18"/>
                <w:szCs w:val="18"/>
              </w:rPr>
              <w:t>VI.     Obstruya las actividades de verificación, inspección y auditoria relativas al cumplimiento de las leyes o afecte la recaudación de contribuciones;</w:t>
            </w:r>
          </w:p>
          <w:p w:rsidR="00A36FA5" w:rsidRPr="00BA4970" w:rsidRDefault="00A36FA5" w:rsidP="00F25686">
            <w:pPr>
              <w:ind w:firstLine="317"/>
              <w:rPr>
                <w:rFonts w:ascii="Century Gothic" w:hAnsi="Century Gothic" w:cs="Arial"/>
                <w:i/>
                <w:sz w:val="18"/>
                <w:szCs w:val="18"/>
              </w:rPr>
            </w:pPr>
            <w:r w:rsidRPr="00BA4970">
              <w:rPr>
                <w:rFonts w:ascii="Century Gothic" w:hAnsi="Century Gothic" w:cs="Arial"/>
                <w:i/>
                <w:sz w:val="18"/>
                <w:szCs w:val="18"/>
              </w:rPr>
              <w:t>VII.   Obstruya la prevención o persecución de los delitos;</w:t>
            </w:r>
          </w:p>
          <w:p w:rsidR="00A36FA5" w:rsidRPr="00BA4970" w:rsidRDefault="00A36FA5" w:rsidP="00F25686">
            <w:pPr>
              <w:ind w:firstLine="317"/>
              <w:rPr>
                <w:rFonts w:ascii="Century Gothic" w:hAnsi="Century Gothic" w:cs="Arial"/>
                <w:i/>
                <w:sz w:val="18"/>
                <w:szCs w:val="18"/>
              </w:rPr>
            </w:pPr>
            <w:r w:rsidRPr="00BA4970">
              <w:rPr>
                <w:rFonts w:ascii="Century Gothic" w:hAnsi="Century Gothic" w:cs="Arial"/>
                <w:i/>
                <w:sz w:val="18"/>
                <w:szCs w:val="18"/>
              </w:rPr>
              <w:t>IX.    Obstruya los procedimientos para fincar responsabilidad a los</w:t>
            </w:r>
          </w:p>
          <w:p w:rsidR="00A36FA5" w:rsidRPr="00BA4970" w:rsidRDefault="00A36FA5" w:rsidP="00F25686">
            <w:pPr>
              <w:ind w:firstLine="317"/>
              <w:rPr>
                <w:rFonts w:ascii="Century Gothic" w:hAnsi="Century Gothic" w:cs="Arial"/>
                <w:i/>
                <w:sz w:val="18"/>
                <w:szCs w:val="18"/>
              </w:rPr>
            </w:pPr>
            <w:r w:rsidRPr="00BA4970">
              <w:rPr>
                <w:rFonts w:ascii="Century Gothic" w:hAnsi="Century Gothic" w:cs="Arial"/>
                <w:i/>
                <w:sz w:val="18"/>
                <w:szCs w:val="18"/>
              </w:rPr>
              <w:t xml:space="preserve">         servidores Públicos, en tanto no se haya dictado la resolución</w:t>
            </w:r>
          </w:p>
          <w:p w:rsidR="00A36FA5" w:rsidRPr="00BA4970" w:rsidRDefault="00A36FA5" w:rsidP="00F25686">
            <w:pPr>
              <w:ind w:firstLine="317"/>
              <w:rPr>
                <w:rFonts w:ascii="Century Gothic" w:hAnsi="Century Gothic" w:cs="Arial"/>
                <w:i/>
                <w:sz w:val="18"/>
                <w:szCs w:val="18"/>
              </w:rPr>
            </w:pPr>
            <w:r w:rsidRPr="00BA4970">
              <w:rPr>
                <w:rFonts w:ascii="Century Gothic" w:hAnsi="Century Gothic" w:cs="Arial"/>
                <w:i/>
                <w:sz w:val="18"/>
                <w:szCs w:val="18"/>
              </w:rPr>
              <w:t xml:space="preserve">         administrativa;</w:t>
            </w:r>
          </w:p>
          <w:p w:rsidR="00A36FA5" w:rsidRPr="00BA4970" w:rsidRDefault="00A36FA5" w:rsidP="00F25686">
            <w:pPr>
              <w:ind w:firstLine="317"/>
              <w:rPr>
                <w:rFonts w:ascii="Century Gothic" w:hAnsi="Century Gothic" w:cs="Arial"/>
                <w:i/>
                <w:sz w:val="18"/>
                <w:szCs w:val="18"/>
              </w:rPr>
            </w:pPr>
            <w:r w:rsidRPr="00BA4970">
              <w:rPr>
                <w:rFonts w:ascii="Century Gothic" w:hAnsi="Century Gothic" w:cs="Arial"/>
                <w:i/>
                <w:sz w:val="18"/>
                <w:szCs w:val="18"/>
              </w:rPr>
              <w:t>X.     Afecte los derechos del debido proceso;</w:t>
            </w:r>
          </w:p>
          <w:p w:rsidR="00A36FA5" w:rsidRPr="00BA4970" w:rsidRDefault="00A36FA5" w:rsidP="00F25686">
            <w:pPr>
              <w:ind w:firstLine="317"/>
              <w:rPr>
                <w:rFonts w:ascii="Century Gothic" w:hAnsi="Century Gothic" w:cs="Arial"/>
                <w:i/>
                <w:sz w:val="18"/>
                <w:szCs w:val="18"/>
              </w:rPr>
            </w:pPr>
            <w:r w:rsidRPr="00BA4970">
              <w:rPr>
                <w:rFonts w:ascii="Century Gothic" w:hAnsi="Century Gothic" w:cs="Arial"/>
                <w:i/>
                <w:sz w:val="18"/>
                <w:szCs w:val="18"/>
              </w:rPr>
              <w:t>XI.    Vulnere la conducción de los Expedientes judiciales o de los</w:t>
            </w:r>
          </w:p>
          <w:p w:rsidR="00A36FA5" w:rsidRPr="00BA4970" w:rsidRDefault="00A36FA5" w:rsidP="00F25686">
            <w:pPr>
              <w:ind w:firstLine="317"/>
              <w:rPr>
                <w:rFonts w:ascii="Century Gothic" w:hAnsi="Century Gothic" w:cs="Arial"/>
                <w:i/>
                <w:sz w:val="18"/>
                <w:szCs w:val="18"/>
              </w:rPr>
            </w:pPr>
            <w:r w:rsidRPr="00BA4970">
              <w:rPr>
                <w:rFonts w:ascii="Century Gothic" w:hAnsi="Century Gothic" w:cs="Arial"/>
                <w:i/>
                <w:sz w:val="18"/>
                <w:szCs w:val="18"/>
              </w:rPr>
              <w:t xml:space="preserve">         procedimientos administrativos seguidos en forma de juicio,    </w:t>
            </w:r>
          </w:p>
          <w:p w:rsidR="00A36FA5" w:rsidRPr="00BA4970" w:rsidRDefault="00A36FA5" w:rsidP="00F25686">
            <w:pPr>
              <w:ind w:firstLine="317"/>
              <w:rPr>
                <w:rFonts w:ascii="Century Gothic" w:hAnsi="Century Gothic" w:cs="Arial"/>
                <w:i/>
                <w:sz w:val="18"/>
                <w:szCs w:val="18"/>
              </w:rPr>
            </w:pPr>
            <w:r w:rsidRPr="00BA4970">
              <w:rPr>
                <w:rFonts w:ascii="Century Gothic" w:hAnsi="Century Gothic" w:cs="Arial"/>
                <w:i/>
                <w:sz w:val="18"/>
                <w:szCs w:val="18"/>
              </w:rPr>
              <w:t xml:space="preserve">         en tanto no hayan causado estado;</w:t>
            </w:r>
          </w:p>
          <w:p w:rsidR="00A36FA5" w:rsidRPr="00BA4970" w:rsidRDefault="00A36FA5" w:rsidP="00F25686">
            <w:pPr>
              <w:ind w:firstLine="317"/>
              <w:rPr>
                <w:rFonts w:ascii="Century Gothic" w:hAnsi="Century Gothic" w:cs="Arial"/>
                <w:i/>
                <w:sz w:val="18"/>
                <w:szCs w:val="18"/>
              </w:rPr>
            </w:pPr>
            <w:r w:rsidRPr="00BA4970">
              <w:rPr>
                <w:rFonts w:ascii="Century Gothic" w:hAnsi="Century Gothic" w:cs="Arial"/>
                <w:i/>
                <w:sz w:val="18"/>
                <w:szCs w:val="18"/>
              </w:rPr>
              <w:t>XII.   Se encuentre contenida dentro de las investigaciones de</w:t>
            </w:r>
          </w:p>
          <w:p w:rsidR="00A36FA5" w:rsidRPr="00BA4970" w:rsidRDefault="00A36FA5" w:rsidP="00F25686">
            <w:pPr>
              <w:ind w:firstLine="317"/>
              <w:rPr>
                <w:rFonts w:ascii="Century Gothic" w:hAnsi="Century Gothic" w:cs="Arial"/>
                <w:i/>
                <w:sz w:val="18"/>
                <w:szCs w:val="18"/>
              </w:rPr>
            </w:pPr>
            <w:r w:rsidRPr="00BA4970">
              <w:rPr>
                <w:rFonts w:ascii="Century Gothic" w:hAnsi="Century Gothic" w:cs="Arial"/>
                <w:i/>
                <w:sz w:val="18"/>
                <w:szCs w:val="18"/>
              </w:rPr>
              <w:t xml:space="preserve">          hechos que la ley señale como delitos y se tramiten ante el</w:t>
            </w:r>
          </w:p>
          <w:p w:rsidR="00A36FA5" w:rsidRDefault="00A36FA5" w:rsidP="00F25686">
            <w:pPr>
              <w:ind w:firstLine="317"/>
              <w:rPr>
                <w:rFonts w:ascii="Century Gothic" w:hAnsi="Century Gothic" w:cs="Arial"/>
                <w:i/>
                <w:sz w:val="18"/>
                <w:szCs w:val="18"/>
              </w:rPr>
            </w:pPr>
            <w:r w:rsidRPr="00BA4970">
              <w:rPr>
                <w:rFonts w:ascii="Century Gothic" w:hAnsi="Century Gothic" w:cs="Arial"/>
                <w:i/>
                <w:sz w:val="18"/>
                <w:szCs w:val="18"/>
              </w:rPr>
              <w:t xml:space="preserve">         Ministerio Público.</w:t>
            </w:r>
          </w:p>
          <w:p w:rsidR="00F35619" w:rsidRPr="00BA4970" w:rsidRDefault="00F35619" w:rsidP="00F25686">
            <w:pPr>
              <w:ind w:firstLine="317"/>
              <w:rPr>
                <w:rFonts w:ascii="Century Gothic" w:hAnsi="Century Gothic" w:cs="Arial"/>
                <w:i/>
                <w:sz w:val="18"/>
                <w:szCs w:val="18"/>
              </w:rPr>
            </w:pPr>
          </w:p>
          <w:p w:rsidR="00A36FA5" w:rsidRPr="00BA4970" w:rsidRDefault="00A36FA5" w:rsidP="00F25686">
            <w:pPr>
              <w:rPr>
                <w:rFonts w:ascii="Century Gothic" w:hAnsi="Century Gothic" w:cs="Arial"/>
                <w:b/>
                <w:sz w:val="18"/>
                <w:szCs w:val="18"/>
              </w:rPr>
            </w:pPr>
            <w:r w:rsidRPr="00BA4970">
              <w:rPr>
                <w:rFonts w:ascii="Century Gothic" w:hAnsi="Century Gothic" w:cs="Arial"/>
                <w:b/>
                <w:sz w:val="18"/>
                <w:szCs w:val="18"/>
              </w:rPr>
              <w:t>Lineamientos Generales en materia de Clasificación y Desclasificación de la información, así como la Elaboración de Versiones Públicas:</w:t>
            </w:r>
          </w:p>
          <w:p w:rsidR="00F35619" w:rsidRDefault="00A36FA5" w:rsidP="00F25686">
            <w:pPr>
              <w:rPr>
                <w:rFonts w:ascii="Century Gothic" w:hAnsi="Century Gothic" w:cs="Arial"/>
                <w:i/>
                <w:sz w:val="18"/>
                <w:szCs w:val="18"/>
              </w:rPr>
            </w:pPr>
            <w:r w:rsidRPr="00BA4970">
              <w:rPr>
                <w:rFonts w:ascii="Century Gothic" w:hAnsi="Century Gothic" w:cs="Arial"/>
                <w:i/>
                <w:sz w:val="18"/>
                <w:szCs w:val="18"/>
              </w:rPr>
              <w:t xml:space="preserve">Vigésimo sexto. De conformidad con el artículo 113, fracción VII de la Ley General, podrá considerarse como información reservada, aquella que obstruya la prevención de delitos al obstaculizar las acciones implementadas por las autoridades para evitar su comisión, o menoscabar o limitar la capacidad de las autoridades para evitar la comisión de delitos. Para que se verifique el supuesto de reserva, cuando se cause un perjuicio a las actividades de persecución de los delitos, </w:t>
            </w:r>
          </w:p>
          <w:p w:rsidR="00F35619" w:rsidRDefault="00F35619" w:rsidP="00F25686">
            <w:pPr>
              <w:rPr>
                <w:rFonts w:ascii="Century Gothic" w:hAnsi="Century Gothic" w:cs="Arial"/>
                <w:i/>
                <w:sz w:val="18"/>
                <w:szCs w:val="18"/>
              </w:rPr>
            </w:pPr>
          </w:p>
          <w:p w:rsidR="00F35619" w:rsidRDefault="00F35619" w:rsidP="00F25686">
            <w:pPr>
              <w:rPr>
                <w:rFonts w:ascii="Century Gothic" w:hAnsi="Century Gothic" w:cs="Arial"/>
                <w:i/>
                <w:sz w:val="18"/>
                <w:szCs w:val="18"/>
              </w:rPr>
            </w:pPr>
          </w:p>
          <w:p w:rsidR="00A36FA5" w:rsidRDefault="00A36FA5" w:rsidP="00F25686">
            <w:pPr>
              <w:rPr>
                <w:rFonts w:ascii="Century Gothic" w:hAnsi="Century Gothic" w:cs="Arial"/>
                <w:i/>
                <w:sz w:val="18"/>
                <w:szCs w:val="18"/>
              </w:rPr>
            </w:pPr>
            <w:r w:rsidRPr="00BA4970">
              <w:rPr>
                <w:rFonts w:ascii="Century Gothic" w:hAnsi="Century Gothic" w:cs="Arial"/>
                <w:i/>
                <w:sz w:val="18"/>
                <w:szCs w:val="18"/>
              </w:rPr>
              <w:lastRenderedPageBreak/>
              <w:t xml:space="preserve">deben de actualizarse los siguientes elementos: </w:t>
            </w:r>
          </w:p>
          <w:p w:rsidR="00A36FA5" w:rsidRDefault="00A36FA5" w:rsidP="00A36FA5">
            <w:pPr>
              <w:pStyle w:val="Prrafodelista"/>
              <w:numPr>
                <w:ilvl w:val="0"/>
                <w:numId w:val="4"/>
              </w:numPr>
              <w:ind w:left="742" w:hanging="425"/>
              <w:rPr>
                <w:rFonts w:ascii="Century Gothic" w:hAnsi="Century Gothic" w:cs="Arial"/>
                <w:i/>
                <w:sz w:val="18"/>
                <w:szCs w:val="18"/>
              </w:rPr>
            </w:pPr>
            <w:r w:rsidRPr="00BA4970">
              <w:rPr>
                <w:rFonts w:ascii="Century Gothic" w:hAnsi="Century Gothic" w:cs="Arial"/>
                <w:i/>
                <w:sz w:val="18"/>
                <w:szCs w:val="18"/>
              </w:rPr>
              <w:t>La existencia de un proceso penal en sustanciación o una carpeta de investigación en trámite;</w:t>
            </w:r>
          </w:p>
          <w:p w:rsidR="00A36FA5" w:rsidRPr="00BA4970" w:rsidRDefault="00A36FA5" w:rsidP="00A36FA5">
            <w:pPr>
              <w:pStyle w:val="Prrafodelista"/>
              <w:numPr>
                <w:ilvl w:val="0"/>
                <w:numId w:val="4"/>
              </w:numPr>
              <w:ind w:left="742" w:hanging="425"/>
              <w:rPr>
                <w:rFonts w:ascii="Century Gothic" w:hAnsi="Century Gothic" w:cs="Arial"/>
                <w:i/>
                <w:sz w:val="18"/>
                <w:szCs w:val="18"/>
              </w:rPr>
            </w:pPr>
            <w:r w:rsidRPr="00BA4970">
              <w:rPr>
                <w:rFonts w:ascii="Century Gothic" w:hAnsi="Century Gothic" w:cs="Arial"/>
                <w:i/>
                <w:sz w:val="18"/>
                <w:szCs w:val="18"/>
              </w:rPr>
              <w:t>Que se acredite el vínculo que existe entre la información solicitada y la carpeta de investigación, o el proceso penal, según sea el caso, y</w:t>
            </w:r>
          </w:p>
          <w:p w:rsidR="00A36FA5" w:rsidRPr="00BA4970" w:rsidRDefault="00A36FA5" w:rsidP="00A36FA5">
            <w:pPr>
              <w:pStyle w:val="Prrafodelista"/>
              <w:numPr>
                <w:ilvl w:val="0"/>
                <w:numId w:val="4"/>
              </w:numPr>
              <w:ind w:left="742" w:hanging="425"/>
              <w:rPr>
                <w:rFonts w:ascii="Century Gothic" w:hAnsi="Century Gothic" w:cs="Arial"/>
                <w:i/>
                <w:sz w:val="18"/>
                <w:szCs w:val="18"/>
              </w:rPr>
            </w:pPr>
            <w:r w:rsidRPr="00BA4970">
              <w:rPr>
                <w:rFonts w:ascii="Century Gothic" w:hAnsi="Century Gothic" w:cs="Arial"/>
                <w:i/>
                <w:sz w:val="18"/>
                <w:szCs w:val="18"/>
              </w:rPr>
              <w:t>Que la difusión de la información pueda impedir u obstruir las funciones que ejerce el Ministerio Público o su equivalente durante la etapa de investigación o ante los tribunales judiciales con motivo del ejercicio de la acción penal.</w:t>
            </w:r>
          </w:p>
          <w:p w:rsidR="00A36FA5" w:rsidRPr="00BA4970" w:rsidRDefault="00A36FA5" w:rsidP="00F25686">
            <w:pPr>
              <w:rPr>
                <w:rFonts w:ascii="Century Gothic" w:hAnsi="Century Gothic" w:cs="Arial"/>
                <w:i/>
                <w:sz w:val="18"/>
                <w:szCs w:val="18"/>
              </w:rPr>
            </w:pPr>
            <w:r w:rsidRPr="00BA4970">
              <w:rPr>
                <w:rFonts w:ascii="Century Gothic" w:hAnsi="Century Gothic" w:cs="Arial"/>
                <w:i/>
                <w:sz w:val="18"/>
                <w:szCs w:val="18"/>
              </w:rPr>
              <w:t>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A36FA5" w:rsidRPr="00BA4970" w:rsidRDefault="00A36FA5" w:rsidP="00A36FA5">
            <w:pPr>
              <w:pStyle w:val="Prrafodelista"/>
              <w:numPr>
                <w:ilvl w:val="0"/>
                <w:numId w:val="1"/>
              </w:numPr>
              <w:ind w:left="884"/>
              <w:rPr>
                <w:rFonts w:ascii="Century Gothic" w:hAnsi="Century Gothic" w:cs="Arial"/>
                <w:i/>
                <w:sz w:val="18"/>
                <w:szCs w:val="18"/>
              </w:rPr>
            </w:pPr>
            <w:r w:rsidRPr="00BA4970">
              <w:rPr>
                <w:rFonts w:ascii="Century Gothic" w:hAnsi="Century Gothic" w:cs="Arial"/>
                <w:i/>
                <w:sz w:val="18"/>
                <w:szCs w:val="18"/>
              </w:rPr>
              <w:t>La existencia de un procedimiento de responsabilidad administrativa en trámite, y</w:t>
            </w:r>
          </w:p>
          <w:p w:rsidR="00A36FA5" w:rsidRPr="00BA4970" w:rsidRDefault="00A36FA5" w:rsidP="00A36FA5">
            <w:pPr>
              <w:pStyle w:val="Prrafodelista"/>
              <w:numPr>
                <w:ilvl w:val="0"/>
                <w:numId w:val="1"/>
              </w:numPr>
              <w:ind w:left="884"/>
              <w:rPr>
                <w:rFonts w:ascii="Century Gothic" w:hAnsi="Century Gothic" w:cs="Arial"/>
                <w:i/>
                <w:sz w:val="18"/>
                <w:szCs w:val="18"/>
              </w:rPr>
            </w:pPr>
            <w:r w:rsidRPr="00BA4970">
              <w:rPr>
                <w:rFonts w:ascii="Century Gothic" w:hAnsi="Century Gothic" w:cs="Arial"/>
                <w:i/>
                <w:sz w:val="18"/>
                <w:szCs w:val="18"/>
              </w:rPr>
              <w:t>Que la información se refiera a actuaciones, diligencias y constancias propias del procedimiento de responsabilidad.</w:t>
            </w:r>
          </w:p>
          <w:p w:rsidR="00A36FA5" w:rsidRPr="00BA4970" w:rsidRDefault="00A36FA5" w:rsidP="00F25686">
            <w:pPr>
              <w:rPr>
                <w:rFonts w:ascii="Century Gothic" w:hAnsi="Century Gothic" w:cs="Arial"/>
                <w:i/>
                <w:sz w:val="18"/>
                <w:szCs w:val="18"/>
              </w:rPr>
            </w:pPr>
            <w:r w:rsidRPr="00BA4970">
              <w:rPr>
                <w:rFonts w:ascii="Century Gothic" w:hAnsi="Century Gothic" w:cs="Arial"/>
                <w:i/>
                <w:sz w:val="18"/>
                <w:szCs w:val="18"/>
              </w:rPr>
              <w:t xml:space="preserve">Vigésimo noveno. De conformidad con el artículo 113, fracción X de la Ley General, podrá considerarse como información reservada, aquella que de divulgarse afecte el debido proceso al actualizarse los siguientes elementos: </w:t>
            </w:r>
          </w:p>
          <w:p w:rsidR="00A36FA5" w:rsidRPr="00BA4970" w:rsidRDefault="00A36FA5" w:rsidP="00A36FA5">
            <w:pPr>
              <w:pStyle w:val="Prrafodelista"/>
              <w:numPr>
                <w:ilvl w:val="0"/>
                <w:numId w:val="2"/>
              </w:numPr>
              <w:ind w:left="884" w:hanging="524"/>
              <w:rPr>
                <w:rFonts w:ascii="Century Gothic" w:hAnsi="Century Gothic" w:cs="Arial"/>
                <w:i/>
                <w:sz w:val="18"/>
                <w:szCs w:val="18"/>
              </w:rPr>
            </w:pPr>
            <w:r w:rsidRPr="00BA4970">
              <w:rPr>
                <w:rFonts w:ascii="Century Gothic" w:hAnsi="Century Gothic" w:cs="Arial"/>
                <w:i/>
                <w:sz w:val="18"/>
                <w:szCs w:val="18"/>
              </w:rPr>
              <w:t xml:space="preserve">La existencia de un procedimiento judicial, administrativo o arbitral en trámite; </w:t>
            </w:r>
          </w:p>
          <w:p w:rsidR="00A36FA5" w:rsidRPr="00BA4970" w:rsidRDefault="00A36FA5" w:rsidP="00A36FA5">
            <w:pPr>
              <w:pStyle w:val="Prrafodelista"/>
              <w:numPr>
                <w:ilvl w:val="0"/>
                <w:numId w:val="2"/>
              </w:numPr>
              <w:ind w:left="884" w:hanging="524"/>
              <w:rPr>
                <w:rFonts w:ascii="Century Gothic" w:hAnsi="Century Gothic" w:cs="Arial"/>
                <w:i/>
                <w:sz w:val="18"/>
                <w:szCs w:val="18"/>
              </w:rPr>
            </w:pPr>
            <w:r w:rsidRPr="00BA4970">
              <w:rPr>
                <w:rFonts w:ascii="Century Gothic" w:hAnsi="Century Gothic" w:cs="Arial"/>
                <w:i/>
                <w:sz w:val="18"/>
                <w:szCs w:val="18"/>
              </w:rPr>
              <w:t>Que el sujeto obligado sea parte en ese procedimiento;</w:t>
            </w:r>
          </w:p>
          <w:p w:rsidR="00A36FA5" w:rsidRPr="00BA4970" w:rsidRDefault="00A36FA5" w:rsidP="00A36FA5">
            <w:pPr>
              <w:pStyle w:val="Prrafodelista"/>
              <w:numPr>
                <w:ilvl w:val="0"/>
                <w:numId w:val="2"/>
              </w:numPr>
              <w:ind w:left="884" w:hanging="524"/>
              <w:rPr>
                <w:rFonts w:ascii="Century Gothic" w:hAnsi="Century Gothic" w:cs="Arial"/>
                <w:i/>
                <w:sz w:val="18"/>
                <w:szCs w:val="18"/>
              </w:rPr>
            </w:pPr>
            <w:r w:rsidRPr="00BA4970">
              <w:rPr>
                <w:rFonts w:ascii="Century Gothic" w:hAnsi="Century Gothic" w:cs="Arial"/>
                <w:i/>
                <w:sz w:val="18"/>
                <w:szCs w:val="18"/>
              </w:rPr>
              <w:t xml:space="preserve">Que la información no sea conocida por la contraparte antes de la presentación de la misma en el proceso, y </w:t>
            </w:r>
          </w:p>
          <w:p w:rsidR="00A36FA5" w:rsidRPr="00BA4970" w:rsidRDefault="00A36FA5" w:rsidP="00A36FA5">
            <w:pPr>
              <w:pStyle w:val="Prrafodelista"/>
              <w:numPr>
                <w:ilvl w:val="0"/>
                <w:numId w:val="2"/>
              </w:numPr>
              <w:ind w:left="884" w:hanging="524"/>
              <w:rPr>
                <w:rFonts w:ascii="Century Gothic" w:hAnsi="Century Gothic" w:cs="Arial"/>
                <w:i/>
                <w:sz w:val="18"/>
                <w:szCs w:val="18"/>
              </w:rPr>
            </w:pPr>
            <w:r w:rsidRPr="00BA4970">
              <w:rPr>
                <w:rFonts w:ascii="Century Gothic" w:hAnsi="Century Gothic" w:cs="Arial"/>
                <w:i/>
                <w:sz w:val="18"/>
                <w:szCs w:val="18"/>
              </w:rPr>
              <w:t xml:space="preserve">Que con su divulgación se afecte la oportunidad de llevar a cabo </w:t>
            </w:r>
            <w:proofErr w:type="gramStart"/>
            <w:r w:rsidRPr="00BA4970">
              <w:rPr>
                <w:rFonts w:ascii="Century Gothic" w:hAnsi="Century Gothic" w:cs="Arial"/>
                <w:i/>
                <w:sz w:val="18"/>
                <w:szCs w:val="18"/>
              </w:rPr>
              <w:t>alguna</w:t>
            </w:r>
            <w:proofErr w:type="gramEnd"/>
            <w:r w:rsidRPr="00BA4970">
              <w:rPr>
                <w:rFonts w:ascii="Century Gothic" w:hAnsi="Century Gothic" w:cs="Arial"/>
                <w:i/>
                <w:sz w:val="18"/>
                <w:szCs w:val="18"/>
              </w:rPr>
              <w:t xml:space="preserve"> de las garantías del debido proceso.</w:t>
            </w:r>
          </w:p>
          <w:p w:rsidR="00A36FA5" w:rsidRPr="00BA4970" w:rsidRDefault="00A36FA5" w:rsidP="00F25686">
            <w:pPr>
              <w:rPr>
                <w:rFonts w:ascii="Century Gothic" w:hAnsi="Century Gothic" w:cs="Arial"/>
                <w:i/>
                <w:sz w:val="18"/>
                <w:szCs w:val="18"/>
              </w:rPr>
            </w:pPr>
            <w:r w:rsidRPr="00BA4970">
              <w:rPr>
                <w:rFonts w:ascii="Century Gothic" w:hAnsi="Century Gothic" w:cs="Arial"/>
                <w:i/>
                <w:sz w:val="18"/>
                <w:szCs w:val="18"/>
              </w:rPr>
              <w:t>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rsidR="00A36FA5" w:rsidRDefault="00A36FA5" w:rsidP="00A36FA5">
            <w:pPr>
              <w:pStyle w:val="Prrafodelista"/>
              <w:numPr>
                <w:ilvl w:val="0"/>
                <w:numId w:val="3"/>
              </w:numPr>
              <w:tabs>
                <w:tab w:val="left" w:pos="884"/>
              </w:tabs>
              <w:rPr>
                <w:rFonts w:ascii="Century Gothic" w:hAnsi="Century Gothic" w:cs="Arial"/>
                <w:i/>
                <w:sz w:val="18"/>
                <w:szCs w:val="18"/>
              </w:rPr>
            </w:pPr>
            <w:r w:rsidRPr="00BA4970">
              <w:rPr>
                <w:rFonts w:ascii="Century Gothic" w:hAnsi="Century Gothic" w:cs="Arial"/>
                <w:i/>
                <w:sz w:val="18"/>
                <w:szCs w:val="18"/>
              </w:rPr>
              <w:t>La existencia de un juicio</w:t>
            </w:r>
            <w:r>
              <w:rPr>
                <w:rFonts w:ascii="Century Gothic" w:hAnsi="Century Gothic" w:cs="Arial"/>
                <w:i/>
                <w:sz w:val="18"/>
                <w:szCs w:val="18"/>
              </w:rPr>
              <w:t xml:space="preserve"> o procedimiento administrativo</w:t>
            </w:r>
          </w:p>
          <w:p w:rsidR="00A36FA5" w:rsidRPr="00A36FA5" w:rsidRDefault="00A36FA5" w:rsidP="00A36FA5">
            <w:pPr>
              <w:pStyle w:val="Prrafodelista"/>
              <w:tabs>
                <w:tab w:val="left" w:pos="884"/>
              </w:tabs>
              <w:ind w:left="884"/>
              <w:rPr>
                <w:rFonts w:ascii="Century Gothic" w:hAnsi="Century Gothic" w:cs="Arial"/>
                <w:i/>
                <w:sz w:val="18"/>
                <w:szCs w:val="18"/>
              </w:rPr>
            </w:pPr>
            <w:r w:rsidRPr="00A36FA5">
              <w:rPr>
                <w:rFonts w:ascii="Century Gothic" w:hAnsi="Century Gothic" w:cs="Arial"/>
                <w:i/>
                <w:sz w:val="18"/>
                <w:szCs w:val="18"/>
              </w:rPr>
              <w:t>materialmente jurisdiccional, que se encuentre en trámite, y</w:t>
            </w:r>
          </w:p>
          <w:p w:rsidR="00A36FA5" w:rsidRPr="00BA4970" w:rsidRDefault="00A36FA5" w:rsidP="00A36FA5">
            <w:pPr>
              <w:pStyle w:val="Prrafodelista"/>
              <w:numPr>
                <w:ilvl w:val="0"/>
                <w:numId w:val="3"/>
              </w:numPr>
              <w:tabs>
                <w:tab w:val="left" w:pos="884"/>
              </w:tabs>
              <w:ind w:left="884" w:hanging="567"/>
              <w:rPr>
                <w:rFonts w:ascii="Century Gothic" w:hAnsi="Century Gothic" w:cs="Arial"/>
                <w:i/>
                <w:sz w:val="18"/>
                <w:szCs w:val="18"/>
              </w:rPr>
            </w:pPr>
            <w:r w:rsidRPr="00BA4970">
              <w:rPr>
                <w:rFonts w:ascii="Century Gothic" w:hAnsi="Century Gothic" w:cs="Arial"/>
                <w:i/>
                <w:sz w:val="18"/>
                <w:szCs w:val="18"/>
              </w:rPr>
              <w:t xml:space="preserve"> Que la información solicitada se refiera a actuaciones, </w:t>
            </w:r>
            <w:r w:rsidRPr="00BA4970">
              <w:rPr>
                <w:rFonts w:ascii="Century Gothic" w:hAnsi="Century Gothic" w:cs="Arial"/>
                <w:i/>
                <w:sz w:val="18"/>
                <w:szCs w:val="18"/>
              </w:rPr>
              <w:lastRenderedPageBreak/>
              <w:t xml:space="preserve">diligencias o constancias propias del procedimiento. Para los efectos del primer párrafo de este numeral, se considera procedimiento seguido en forma de juicio a aquel formalmente administrativo, pero materialmente jurisdiccional; esto es, en el que concurran los siguientes elementos: </w:t>
            </w:r>
          </w:p>
          <w:p w:rsidR="00A36FA5" w:rsidRDefault="00A36FA5" w:rsidP="00F25686">
            <w:pPr>
              <w:pStyle w:val="Prrafodelista"/>
              <w:ind w:left="1451"/>
              <w:rPr>
                <w:rFonts w:ascii="Century Gothic" w:hAnsi="Century Gothic" w:cs="Arial"/>
                <w:i/>
                <w:sz w:val="18"/>
                <w:szCs w:val="18"/>
              </w:rPr>
            </w:pPr>
            <w:r w:rsidRPr="00BA4970">
              <w:rPr>
                <w:rFonts w:ascii="Century Gothic" w:hAnsi="Century Gothic" w:cs="Arial"/>
                <w:i/>
                <w:sz w:val="18"/>
                <w:szCs w:val="18"/>
              </w:rPr>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rsidR="00A36FA5" w:rsidRPr="00BA4970" w:rsidRDefault="00A36FA5" w:rsidP="00F25686">
            <w:pPr>
              <w:pStyle w:val="Prrafodelista"/>
              <w:ind w:left="1451"/>
              <w:rPr>
                <w:rFonts w:ascii="Century Gothic" w:hAnsi="Century Gothic" w:cs="Arial"/>
                <w:i/>
                <w:sz w:val="18"/>
                <w:szCs w:val="18"/>
              </w:rPr>
            </w:pPr>
            <w:r w:rsidRPr="00BA4970">
              <w:rPr>
                <w:rFonts w:ascii="Century Gothic" w:hAnsi="Century Gothic" w:cs="Arial"/>
                <w:i/>
                <w:sz w:val="18"/>
                <w:szCs w:val="18"/>
              </w:rPr>
              <w:t xml:space="preserve">2. Que se cumplan las formalidades esenciales del procedimiento. No serán objeto de reserva las resoluciones interlocutorias o definitivas que se dicten dentro de los procedimientos o con las que se concluya el mismo. En estos casos deberá otorgarse acceso a la resolución en versión pública, testando la información clasificada. </w:t>
            </w:r>
          </w:p>
          <w:p w:rsidR="00A36FA5" w:rsidRPr="00BA4970" w:rsidRDefault="00A36FA5" w:rsidP="00F25686">
            <w:pPr>
              <w:rPr>
                <w:rFonts w:ascii="Century Gothic" w:hAnsi="Century Gothic" w:cs="Arial"/>
                <w:i/>
                <w:sz w:val="18"/>
                <w:szCs w:val="18"/>
              </w:rPr>
            </w:pPr>
            <w:r w:rsidRPr="00BA4970">
              <w:rPr>
                <w:rFonts w:ascii="Century Gothic" w:hAnsi="Century Gothic" w:cs="Arial"/>
                <w:i/>
                <w:sz w:val="18"/>
                <w:szCs w:val="18"/>
              </w:rPr>
              <w:t>Trigésimo primero. De conformidad con el artículo 113, fracción XII de la Ley General, podrá considerarse como información reservada, aquella que forme parte de las averiguaciones previas o carpetas de investigación que resulte de la etapa de investigación, durante la cual, de conformidad con la normativa en materia penal, el Ministerio Público o su equivalente reúne indicios para el esclarecimiento de los hechos y, en su caso, los datos de prueba para sustentar el ejercicio o no de la acción penal, la acusación contra el imputado y la reparación del daño.</w:t>
            </w:r>
          </w:p>
        </w:tc>
      </w:tr>
      <w:tr w:rsidR="00A36FA5" w:rsidRPr="00BA4970" w:rsidTr="00F25686">
        <w:tc>
          <w:tcPr>
            <w:tcW w:w="2992" w:type="dxa"/>
            <w:vMerge/>
            <w:tcBorders>
              <w:right w:val="single" w:sz="4" w:space="0" w:color="auto"/>
            </w:tcBorders>
          </w:tcPr>
          <w:p w:rsidR="00A36FA5" w:rsidRPr="00BA4970" w:rsidRDefault="00A36FA5" w:rsidP="00F25686">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A36FA5" w:rsidRPr="00BA4970" w:rsidRDefault="00A36FA5" w:rsidP="00F25686">
            <w:pPr>
              <w:jc w:val="center"/>
              <w:rPr>
                <w:rFonts w:ascii="Century Gothic" w:hAnsi="Century Gothic" w:cs="Arial"/>
                <w:sz w:val="18"/>
                <w:szCs w:val="18"/>
              </w:rPr>
            </w:pPr>
            <w:r w:rsidRPr="00BA4970">
              <w:rPr>
                <w:rFonts w:ascii="Century Gothic" w:hAnsi="Century Gothic" w:cs="Arial"/>
                <w:sz w:val="18"/>
                <w:szCs w:val="18"/>
              </w:rPr>
              <w:t>Ampliación del periodo de reserva</w:t>
            </w:r>
          </w:p>
        </w:tc>
        <w:tc>
          <w:tcPr>
            <w:tcW w:w="666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A36FA5" w:rsidRPr="0065282D" w:rsidRDefault="00A36FA5" w:rsidP="00F25686">
            <w:pPr>
              <w:rPr>
                <w:rFonts w:ascii="Century Gothic" w:hAnsi="Century Gothic" w:cs="Arial"/>
                <w:b/>
                <w:sz w:val="10"/>
                <w:szCs w:val="10"/>
              </w:rPr>
            </w:pPr>
          </w:p>
        </w:tc>
      </w:tr>
      <w:tr w:rsidR="00A36FA5" w:rsidRPr="00BA4970" w:rsidTr="00F25686">
        <w:trPr>
          <w:trHeight w:val="101"/>
        </w:trPr>
        <w:tc>
          <w:tcPr>
            <w:tcW w:w="2992" w:type="dxa"/>
            <w:vMerge/>
            <w:tcBorders>
              <w:right w:val="single" w:sz="4" w:space="0" w:color="auto"/>
            </w:tcBorders>
          </w:tcPr>
          <w:p w:rsidR="00A36FA5" w:rsidRPr="00BA4970" w:rsidRDefault="00A36FA5" w:rsidP="00F25686">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A36FA5" w:rsidRPr="008516F8" w:rsidRDefault="00A36FA5" w:rsidP="00F25686">
            <w:pPr>
              <w:jc w:val="center"/>
              <w:rPr>
                <w:rFonts w:ascii="Century Gothic" w:hAnsi="Century Gothic" w:cs="Arial"/>
                <w:sz w:val="18"/>
                <w:szCs w:val="18"/>
              </w:rPr>
            </w:pPr>
            <w:r w:rsidRPr="008516F8">
              <w:rPr>
                <w:rFonts w:ascii="Century Gothic" w:hAnsi="Century Gothic" w:cs="Arial"/>
                <w:sz w:val="18"/>
                <w:szCs w:val="18"/>
              </w:rPr>
              <w:t>Confidencial</w:t>
            </w:r>
          </w:p>
        </w:tc>
        <w:tc>
          <w:tcPr>
            <w:tcW w:w="666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A36FA5" w:rsidRPr="0065282D" w:rsidRDefault="00A36FA5" w:rsidP="00F25686">
            <w:pPr>
              <w:rPr>
                <w:rFonts w:ascii="Century Gothic" w:hAnsi="Century Gothic" w:cs="Arial"/>
                <w:sz w:val="10"/>
                <w:szCs w:val="10"/>
                <w:highlight w:val="yellow"/>
              </w:rPr>
            </w:pPr>
          </w:p>
        </w:tc>
      </w:tr>
      <w:tr w:rsidR="00A36FA5" w:rsidRPr="00BA4970" w:rsidTr="00F25686">
        <w:tc>
          <w:tcPr>
            <w:tcW w:w="2992" w:type="dxa"/>
            <w:vMerge/>
            <w:tcBorders>
              <w:right w:val="single" w:sz="4" w:space="0" w:color="auto"/>
            </w:tcBorders>
          </w:tcPr>
          <w:p w:rsidR="00A36FA5" w:rsidRPr="00BA4970" w:rsidRDefault="00A36FA5" w:rsidP="00F25686">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A36FA5" w:rsidRPr="008516F8" w:rsidRDefault="00A36FA5" w:rsidP="00F25686">
            <w:pPr>
              <w:jc w:val="center"/>
              <w:rPr>
                <w:rFonts w:ascii="Century Gothic" w:hAnsi="Century Gothic" w:cs="Arial"/>
                <w:sz w:val="18"/>
                <w:szCs w:val="18"/>
              </w:rPr>
            </w:pPr>
            <w:r w:rsidRPr="008516F8">
              <w:rPr>
                <w:rFonts w:ascii="Century Gothic" w:hAnsi="Century Gothic" w:cs="Arial"/>
                <w:sz w:val="18"/>
                <w:szCs w:val="18"/>
              </w:rPr>
              <w:t>Fundamento legal</w:t>
            </w:r>
          </w:p>
        </w:tc>
        <w:tc>
          <w:tcPr>
            <w:tcW w:w="666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A36FA5" w:rsidRPr="0065282D" w:rsidRDefault="00A36FA5" w:rsidP="00F25686">
            <w:pPr>
              <w:rPr>
                <w:rFonts w:ascii="Century Gothic" w:hAnsi="Century Gothic" w:cs="Arial"/>
                <w:sz w:val="10"/>
                <w:szCs w:val="10"/>
                <w:highlight w:val="yellow"/>
              </w:rPr>
            </w:pPr>
          </w:p>
        </w:tc>
      </w:tr>
      <w:tr w:rsidR="00A36FA5" w:rsidRPr="00BA4970" w:rsidTr="00F25686">
        <w:tc>
          <w:tcPr>
            <w:tcW w:w="2992" w:type="dxa"/>
            <w:vMerge/>
            <w:tcBorders>
              <w:right w:val="single" w:sz="4" w:space="0" w:color="auto"/>
            </w:tcBorders>
          </w:tcPr>
          <w:p w:rsidR="00A36FA5" w:rsidRPr="00BA4970" w:rsidRDefault="00A36FA5" w:rsidP="00F25686">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A36FA5" w:rsidRPr="00BA4970" w:rsidRDefault="00A36FA5" w:rsidP="00F25686">
            <w:pPr>
              <w:jc w:val="center"/>
              <w:rPr>
                <w:rFonts w:ascii="Century Gothic" w:hAnsi="Century Gothic" w:cs="Arial"/>
                <w:sz w:val="18"/>
                <w:szCs w:val="18"/>
              </w:rPr>
            </w:pPr>
            <w:r w:rsidRPr="00BA4970">
              <w:rPr>
                <w:rFonts w:ascii="Century Gothic" w:hAnsi="Century Gothic" w:cs="Arial"/>
                <w:sz w:val="18"/>
                <w:szCs w:val="18"/>
              </w:rPr>
              <w:t>Rúbrica del titular del área</w:t>
            </w:r>
          </w:p>
        </w:tc>
        <w:tc>
          <w:tcPr>
            <w:tcW w:w="6662" w:type="dxa"/>
            <w:tcBorders>
              <w:top w:val="single" w:sz="4" w:space="0" w:color="auto"/>
              <w:left w:val="single" w:sz="4" w:space="0" w:color="auto"/>
              <w:bottom w:val="single" w:sz="4" w:space="0" w:color="auto"/>
              <w:right w:val="single" w:sz="4" w:space="0" w:color="auto"/>
            </w:tcBorders>
          </w:tcPr>
          <w:p w:rsidR="00A36FA5" w:rsidRDefault="00A36FA5" w:rsidP="00F25686">
            <w:pPr>
              <w:rPr>
                <w:rFonts w:ascii="Century Gothic" w:hAnsi="Century Gothic" w:cs="Arial"/>
                <w:sz w:val="18"/>
                <w:szCs w:val="18"/>
              </w:rPr>
            </w:pPr>
            <w:r>
              <w:rPr>
                <w:rFonts w:ascii="Century Gothic" w:hAnsi="Century Gothic" w:cs="Arial"/>
                <w:sz w:val="18"/>
                <w:szCs w:val="18"/>
              </w:rPr>
              <w:t>Auditoría E</w:t>
            </w:r>
            <w:r w:rsidRPr="00BA4970">
              <w:rPr>
                <w:rFonts w:ascii="Century Gothic" w:hAnsi="Century Gothic" w:cs="Arial"/>
                <w:sz w:val="18"/>
                <w:szCs w:val="18"/>
              </w:rPr>
              <w:t xml:space="preserve">special de Fiscalización a Cuentas Públicas </w:t>
            </w:r>
          </w:p>
          <w:p w:rsidR="00A36FA5" w:rsidRDefault="00A36FA5" w:rsidP="00F25686">
            <w:pPr>
              <w:rPr>
                <w:rFonts w:ascii="Century Gothic" w:hAnsi="Century Gothic" w:cs="Arial"/>
                <w:sz w:val="18"/>
                <w:szCs w:val="18"/>
              </w:rPr>
            </w:pPr>
          </w:p>
          <w:p w:rsidR="00A36FA5" w:rsidRDefault="00A36FA5" w:rsidP="00F25686">
            <w:pPr>
              <w:rPr>
                <w:rFonts w:ascii="Century Gothic" w:hAnsi="Century Gothic" w:cs="Arial"/>
                <w:sz w:val="18"/>
                <w:szCs w:val="18"/>
              </w:rPr>
            </w:pPr>
          </w:p>
          <w:p w:rsidR="00A36FA5" w:rsidRDefault="00A36FA5" w:rsidP="00F25686">
            <w:pPr>
              <w:rPr>
                <w:rFonts w:ascii="Century Gothic" w:hAnsi="Century Gothic" w:cs="Arial"/>
                <w:sz w:val="18"/>
                <w:szCs w:val="18"/>
              </w:rPr>
            </w:pPr>
          </w:p>
          <w:p w:rsidR="00A36FA5" w:rsidRDefault="00A36FA5" w:rsidP="00F25686">
            <w:pPr>
              <w:rPr>
                <w:rFonts w:ascii="Century Gothic" w:hAnsi="Century Gothic" w:cs="Arial"/>
                <w:sz w:val="18"/>
                <w:szCs w:val="18"/>
              </w:rPr>
            </w:pPr>
            <w:r w:rsidRPr="00BA4970">
              <w:rPr>
                <w:rFonts w:ascii="Century Gothic" w:hAnsi="Century Gothic" w:cs="Arial"/>
                <w:sz w:val="18"/>
                <w:szCs w:val="18"/>
              </w:rPr>
              <w:t>Dirección General de Asuntos Jurídicos</w:t>
            </w:r>
          </w:p>
          <w:p w:rsidR="00A36FA5" w:rsidRDefault="00A36FA5" w:rsidP="00F25686">
            <w:pPr>
              <w:rPr>
                <w:rFonts w:ascii="Century Gothic" w:hAnsi="Century Gothic" w:cs="Arial"/>
                <w:sz w:val="18"/>
                <w:szCs w:val="18"/>
              </w:rPr>
            </w:pPr>
          </w:p>
          <w:p w:rsidR="00F35619" w:rsidRDefault="00F35619" w:rsidP="00F25686">
            <w:pPr>
              <w:rPr>
                <w:rFonts w:ascii="Century Gothic" w:hAnsi="Century Gothic" w:cs="Arial"/>
                <w:sz w:val="18"/>
                <w:szCs w:val="18"/>
              </w:rPr>
            </w:pPr>
          </w:p>
          <w:p w:rsidR="00A36FA5" w:rsidRPr="00BA4970" w:rsidRDefault="00A36FA5" w:rsidP="00F25686">
            <w:pPr>
              <w:rPr>
                <w:rFonts w:ascii="Century Gothic" w:hAnsi="Century Gothic" w:cs="Arial"/>
                <w:sz w:val="18"/>
                <w:szCs w:val="18"/>
              </w:rPr>
            </w:pPr>
          </w:p>
        </w:tc>
      </w:tr>
      <w:tr w:rsidR="00A36FA5" w:rsidRPr="00BA4970" w:rsidTr="00F25686">
        <w:tc>
          <w:tcPr>
            <w:tcW w:w="2992" w:type="dxa"/>
            <w:vMerge/>
            <w:tcBorders>
              <w:right w:val="single" w:sz="4" w:space="0" w:color="auto"/>
            </w:tcBorders>
          </w:tcPr>
          <w:p w:rsidR="00A36FA5" w:rsidRPr="00BA4970" w:rsidRDefault="00A36FA5" w:rsidP="00F25686">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A36FA5" w:rsidRPr="00BA4970" w:rsidRDefault="00A36FA5" w:rsidP="00F25686">
            <w:pPr>
              <w:jc w:val="center"/>
              <w:rPr>
                <w:rFonts w:ascii="Century Gothic" w:hAnsi="Century Gothic" w:cs="Arial"/>
                <w:sz w:val="18"/>
                <w:szCs w:val="18"/>
              </w:rPr>
            </w:pPr>
            <w:r w:rsidRPr="00BA4970">
              <w:rPr>
                <w:rFonts w:ascii="Century Gothic" w:hAnsi="Century Gothic" w:cs="Arial"/>
                <w:sz w:val="18"/>
                <w:szCs w:val="18"/>
              </w:rPr>
              <w:t>Fecha de desclasificación</w:t>
            </w:r>
          </w:p>
        </w:tc>
        <w:tc>
          <w:tcPr>
            <w:tcW w:w="6662" w:type="dxa"/>
            <w:tcBorders>
              <w:top w:val="single" w:sz="4" w:space="0" w:color="auto"/>
              <w:left w:val="single" w:sz="4" w:space="0" w:color="auto"/>
              <w:bottom w:val="single" w:sz="4" w:space="0" w:color="auto"/>
              <w:right w:val="single" w:sz="4" w:space="0" w:color="auto"/>
            </w:tcBorders>
          </w:tcPr>
          <w:p w:rsidR="00A36FA5" w:rsidRPr="00BA4970" w:rsidRDefault="00A36FA5" w:rsidP="00F25686">
            <w:pPr>
              <w:rPr>
                <w:rFonts w:ascii="Century Gothic" w:hAnsi="Century Gothic" w:cs="Arial"/>
                <w:sz w:val="18"/>
                <w:szCs w:val="18"/>
              </w:rPr>
            </w:pPr>
            <w:r w:rsidRPr="00BA4970">
              <w:rPr>
                <w:rFonts w:ascii="Century Gothic" w:hAnsi="Century Gothic" w:cs="Arial"/>
                <w:sz w:val="18"/>
                <w:szCs w:val="18"/>
              </w:rPr>
              <w:t>Se reserva en tanto no exista resolución definitiva a las investigaciones correspondientes.</w:t>
            </w:r>
          </w:p>
        </w:tc>
      </w:tr>
      <w:tr w:rsidR="00A36FA5" w:rsidRPr="00BA4970" w:rsidTr="00F25686">
        <w:tc>
          <w:tcPr>
            <w:tcW w:w="2992" w:type="dxa"/>
            <w:vMerge/>
            <w:tcBorders>
              <w:right w:val="single" w:sz="4" w:space="0" w:color="auto"/>
            </w:tcBorders>
          </w:tcPr>
          <w:p w:rsidR="00A36FA5" w:rsidRPr="00BA4970" w:rsidRDefault="00A36FA5" w:rsidP="00F25686">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A36FA5" w:rsidRPr="00BA4970" w:rsidRDefault="00A36FA5" w:rsidP="00F25686">
            <w:pPr>
              <w:jc w:val="center"/>
              <w:rPr>
                <w:rFonts w:ascii="Century Gothic" w:hAnsi="Century Gothic" w:cs="Arial"/>
                <w:sz w:val="18"/>
                <w:szCs w:val="18"/>
              </w:rPr>
            </w:pPr>
            <w:r w:rsidRPr="00BA4970">
              <w:rPr>
                <w:rFonts w:ascii="Century Gothic" w:hAnsi="Century Gothic" w:cs="Arial"/>
                <w:sz w:val="18"/>
                <w:szCs w:val="18"/>
              </w:rPr>
              <w:t>Rúbrica y cargo del servidor público</w:t>
            </w:r>
          </w:p>
        </w:tc>
        <w:tc>
          <w:tcPr>
            <w:tcW w:w="666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A36FA5" w:rsidRPr="008516F8" w:rsidRDefault="00A36FA5" w:rsidP="00F25686">
            <w:pPr>
              <w:rPr>
                <w:rFonts w:ascii="Century Gothic" w:hAnsi="Century Gothic" w:cs="Arial"/>
                <w:b/>
                <w:sz w:val="18"/>
                <w:szCs w:val="18"/>
              </w:rPr>
            </w:pPr>
          </w:p>
        </w:tc>
      </w:tr>
    </w:tbl>
    <w:p w:rsidR="00090D21" w:rsidRDefault="00090D21" w:rsidP="00A36FA5"/>
    <w:sectPr w:rsidR="00090D21" w:rsidSect="00A36FA5">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DE3"/>
    <w:multiLevelType w:val="hybridMultilevel"/>
    <w:tmpl w:val="86D067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7F42F8"/>
    <w:multiLevelType w:val="hybridMultilevel"/>
    <w:tmpl w:val="12DE134A"/>
    <w:lvl w:ilvl="0" w:tplc="54EAF5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AE7693"/>
    <w:multiLevelType w:val="hybridMultilevel"/>
    <w:tmpl w:val="36CCB550"/>
    <w:lvl w:ilvl="0" w:tplc="96A0EF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4075519"/>
    <w:multiLevelType w:val="hybridMultilevel"/>
    <w:tmpl w:val="78C47006"/>
    <w:lvl w:ilvl="0" w:tplc="E28A78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A5"/>
    <w:rsid w:val="00090D21"/>
    <w:rsid w:val="00127663"/>
    <w:rsid w:val="00483460"/>
    <w:rsid w:val="00987CA9"/>
    <w:rsid w:val="00A36FA5"/>
    <w:rsid w:val="00D72C7E"/>
    <w:rsid w:val="00F35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1ACC1-D697-4795-87AF-3AA3B023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FA5"/>
    <w:pPr>
      <w:spacing w:after="0" w:line="240" w:lineRule="auto"/>
      <w:jc w:val="both"/>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6FA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6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5192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YadiraRosales</dc:creator>
  <cp:lastModifiedBy>Arcelid Herrera García</cp:lastModifiedBy>
  <cp:revision>2</cp:revision>
  <cp:lastPrinted>2017-01-11T17:33:00Z</cp:lastPrinted>
  <dcterms:created xsi:type="dcterms:W3CDTF">2017-11-14T19:55:00Z</dcterms:created>
  <dcterms:modified xsi:type="dcterms:W3CDTF">2017-11-14T19:55:00Z</dcterms:modified>
</cp:coreProperties>
</file>