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080"/>
      </w:tblGrid>
      <w:tr w:rsidR="000716B4" w:rsidRPr="00DD28DA" w:rsidTr="00E550EE">
        <w:tc>
          <w:tcPr>
            <w:tcW w:w="5211" w:type="dxa"/>
            <w:tcBorders>
              <w:left w:val="single" w:sz="4" w:space="0" w:color="auto"/>
            </w:tcBorders>
            <w:shd w:val="clear" w:color="auto" w:fill="92D050"/>
          </w:tcPr>
          <w:p w:rsidR="000716B4" w:rsidRPr="00DD28DA" w:rsidRDefault="000716B4" w:rsidP="006E6122">
            <w:pPr>
              <w:tabs>
                <w:tab w:val="center" w:pos="4419"/>
                <w:tab w:val="right" w:pos="8838"/>
              </w:tabs>
              <w:jc w:val="center"/>
              <w:rPr>
                <w:rFonts w:ascii="Arial" w:hAnsi="Arial" w:cs="Arial"/>
                <w:b/>
                <w:sz w:val="22"/>
                <w:szCs w:val="22"/>
              </w:rPr>
            </w:pPr>
            <w:bookmarkStart w:id="0" w:name="_GoBack"/>
            <w:bookmarkEnd w:id="0"/>
            <w:r w:rsidRPr="00DD28DA">
              <w:rPr>
                <w:rFonts w:ascii="Arial" w:hAnsi="Arial" w:cs="Arial"/>
                <w:b/>
                <w:sz w:val="22"/>
                <w:szCs w:val="22"/>
              </w:rPr>
              <w:t>Concepto</w:t>
            </w:r>
          </w:p>
        </w:tc>
        <w:tc>
          <w:tcPr>
            <w:tcW w:w="8080" w:type="dxa"/>
            <w:shd w:val="clear" w:color="auto" w:fill="92D050"/>
          </w:tcPr>
          <w:p w:rsidR="000716B4" w:rsidRPr="00DD28DA" w:rsidRDefault="000716B4" w:rsidP="006E6122">
            <w:pPr>
              <w:tabs>
                <w:tab w:val="center" w:pos="4419"/>
                <w:tab w:val="right" w:pos="8838"/>
              </w:tabs>
              <w:jc w:val="center"/>
              <w:rPr>
                <w:rFonts w:ascii="Arial" w:hAnsi="Arial" w:cs="Arial"/>
                <w:b/>
                <w:sz w:val="22"/>
                <w:szCs w:val="22"/>
              </w:rPr>
            </w:pPr>
            <w:r w:rsidRPr="00DD28DA">
              <w:rPr>
                <w:rFonts w:ascii="Arial" w:hAnsi="Arial" w:cs="Arial"/>
                <w:b/>
                <w:sz w:val="22"/>
                <w:szCs w:val="22"/>
              </w:rPr>
              <w:t>Dónde:</w:t>
            </w:r>
          </w:p>
        </w:tc>
      </w:tr>
      <w:tr w:rsidR="000716B4" w:rsidRPr="00DD28DA" w:rsidTr="00E550EE">
        <w:tc>
          <w:tcPr>
            <w:tcW w:w="5211" w:type="dxa"/>
          </w:tcPr>
          <w:p w:rsidR="000716B4" w:rsidRPr="00DD28DA" w:rsidRDefault="000716B4" w:rsidP="00E550EE">
            <w:pPr>
              <w:tabs>
                <w:tab w:val="center" w:pos="4419"/>
                <w:tab w:val="right" w:pos="8838"/>
              </w:tabs>
              <w:jc w:val="center"/>
              <w:rPr>
                <w:rFonts w:ascii="Arial" w:hAnsi="Arial" w:cs="Arial"/>
                <w:sz w:val="22"/>
                <w:szCs w:val="22"/>
              </w:rPr>
            </w:pPr>
            <w:r w:rsidRPr="00DD28DA">
              <w:rPr>
                <w:rFonts w:ascii="Arial" w:hAnsi="Arial" w:cs="Arial"/>
                <w:sz w:val="22"/>
                <w:szCs w:val="22"/>
              </w:rPr>
              <w:t xml:space="preserve">El área que generó, obtuvo, adquirió, transformó y/o conserve la información </w:t>
            </w:r>
          </w:p>
        </w:tc>
        <w:tc>
          <w:tcPr>
            <w:tcW w:w="8080" w:type="dxa"/>
          </w:tcPr>
          <w:p w:rsidR="002B53DF" w:rsidRPr="00DD28DA" w:rsidRDefault="002B53DF" w:rsidP="002B53DF">
            <w:pPr>
              <w:rPr>
                <w:rFonts w:ascii="Arial" w:hAnsi="Arial" w:cs="Arial"/>
                <w:sz w:val="22"/>
                <w:szCs w:val="22"/>
              </w:rPr>
            </w:pPr>
          </w:p>
          <w:p w:rsidR="000716B4" w:rsidRPr="00DD28DA" w:rsidRDefault="00BE1D8C" w:rsidP="002B53DF">
            <w:pPr>
              <w:rPr>
                <w:rFonts w:ascii="Arial" w:hAnsi="Arial" w:cs="Arial"/>
                <w:sz w:val="22"/>
                <w:szCs w:val="22"/>
              </w:rPr>
            </w:pPr>
            <w:r w:rsidRPr="00DD28DA">
              <w:rPr>
                <w:rFonts w:ascii="Arial" w:hAnsi="Arial" w:cs="Arial"/>
                <w:sz w:val="22"/>
                <w:szCs w:val="22"/>
              </w:rPr>
              <w:t>Auditoría Especial de Fiscalización a Cuentas Públicas</w:t>
            </w:r>
            <w:r w:rsidR="002B53DF" w:rsidRPr="00DD28DA">
              <w:rPr>
                <w:rFonts w:ascii="Arial" w:hAnsi="Arial" w:cs="Arial"/>
                <w:sz w:val="22"/>
                <w:szCs w:val="22"/>
              </w:rPr>
              <w:t xml:space="preserve"> </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El nombre del documento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2B53DF" w:rsidRPr="00DD28DA" w:rsidRDefault="00BE1D8C" w:rsidP="002B53DF">
            <w:pPr>
              <w:rPr>
                <w:rFonts w:ascii="Arial" w:hAnsi="Arial" w:cs="Arial"/>
                <w:sz w:val="22"/>
                <w:szCs w:val="22"/>
              </w:rPr>
            </w:pPr>
            <w:r w:rsidRPr="00DD28DA">
              <w:rPr>
                <w:rFonts w:ascii="Arial" w:hAnsi="Arial" w:cs="Arial"/>
                <w:sz w:val="22"/>
                <w:szCs w:val="22"/>
              </w:rPr>
              <w:t xml:space="preserve">Las cuentas públicas de los Entes Fiscalizables Estatales correspondientes al ejercicio 2016 y la información que derive de la primera fase de comprobación del procedimiento de fiscalización superior.   </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Fracción del numeral séptimo de los presentes lineamientos que da origen a la reserva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2B53DF" w:rsidRPr="00DD28DA" w:rsidRDefault="002B53DF" w:rsidP="002B53DF">
            <w:pPr>
              <w:pStyle w:val="Texto0"/>
              <w:spacing w:line="230" w:lineRule="exact"/>
              <w:ind w:firstLine="0"/>
              <w:rPr>
                <w:rFonts w:eastAsia="Calibri" w:cs="Arial"/>
                <w:b/>
                <w:sz w:val="22"/>
                <w:szCs w:val="22"/>
                <w:lang w:val="es-MX" w:eastAsia="en-US"/>
              </w:rPr>
            </w:pPr>
            <w:r w:rsidRPr="00DD28DA">
              <w:rPr>
                <w:rFonts w:eastAsia="Calibri" w:cs="Arial"/>
                <w:b/>
                <w:sz w:val="22"/>
                <w:szCs w:val="22"/>
                <w:lang w:val="es-MX" w:eastAsia="en-US"/>
              </w:rPr>
              <w:t>Lineamientos Generales en materia de Clasificación y Desclasificación de la Información, así como para la Elaboración de Versiones Públicas:</w:t>
            </w:r>
          </w:p>
          <w:p w:rsidR="002B53DF" w:rsidRPr="00DD28DA" w:rsidRDefault="002B53DF" w:rsidP="002B53DF">
            <w:pPr>
              <w:pStyle w:val="Texto0"/>
              <w:spacing w:line="230" w:lineRule="exact"/>
              <w:ind w:firstLine="0"/>
              <w:rPr>
                <w:rFonts w:cs="Arial"/>
                <w:i/>
                <w:sz w:val="22"/>
                <w:szCs w:val="22"/>
              </w:rPr>
            </w:pPr>
            <w:r w:rsidRPr="00DD28DA">
              <w:rPr>
                <w:rFonts w:cs="Arial"/>
                <w:i/>
                <w:sz w:val="22"/>
                <w:szCs w:val="22"/>
              </w:rPr>
              <w:t>Vigésimo noveno</w:t>
            </w:r>
            <w:r w:rsidRPr="00DD28DA">
              <w:rPr>
                <w:rFonts w:cs="Arial"/>
                <w:b/>
                <w:i/>
                <w:sz w:val="22"/>
                <w:szCs w:val="22"/>
              </w:rPr>
              <w:t>.</w:t>
            </w:r>
            <w:r w:rsidRPr="00DD28DA">
              <w:rPr>
                <w:rFonts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2B53DF" w:rsidRPr="00DD28DA" w:rsidRDefault="002B53DF" w:rsidP="002B53DF">
            <w:pPr>
              <w:pStyle w:val="Texto0"/>
              <w:spacing w:line="230" w:lineRule="exact"/>
              <w:ind w:left="708" w:firstLine="0"/>
              <w:rPr>
                <w:rFonts w:cs="Arial"/>
                <w:i/>
                <w:sz w:val="22"/>
                <w:szCs w:val="22"/>
              </w:rPr>
            </w:pPr>
            <w:r w:rsidRPr="00DD28DA">
              <w:rPr>
                <w:rFonts w:cs="Arial"/>
                <w:i/>
                <w:sz w:val="22"/>
                <w:szCs w:val="22"/>
              </w:rPr>
              <w:t xml:space="preserve">I. La existencia de un procedimiento judicial, administrativo o arbitral en trámite; </w:t>
            </w:r>
          </w:p>
          <w:p w:rsidR="002B53DF" w:rsidRPr="00DD28DA" w:rsidRDefault="002B53DF" w:rsidP="002B53DF">
            <w:pPr>
              <w:pStyle w:val="Texto0"/>
              <w:spacing w:line="230" w:lineRule="exact"/>
              <w:ind w:left="708" w:firstLine="0"/>
              <w:rPr>
                <w:rFonts w:cs="Arial"/>
                <w:i/>
                <w:sz w:val="22"/>
                <w:szCs w:val="22"/>
              </w:rPr>
            </w:pPr>
            <w:r w:rsidRPr="00DD28DA">
              <w:rPr>
                <w:rFonts w:cs="Arial"/>
                <w:i/>
                <w:sz w:val="22"/>
                <w:szCs w:val="22"/>
              </w:rPr>
              <w:t xml:space="preserve">II. Que el sujeto obligado sea parte en ese procedimiento; </w:t>
            </w:r>
          </w:p>
          <w:p w:rsidR="006C5F52" w:rsidRPr="00DD28DA" w:rsidRDefault="002B53DF" w:rsidP="006C5F52">
            <w:pPr>
              <w:pStyle w:val="Texto0"/>
              <w:spacing w:line="230" w:lineRule="exact"/>
              <w:ind w:left="708" w:firstLine="0"/>
              <w:rPr>
                <w:rFonts w:cs="Arial"/>
                <w:i/>
                <w:sz w:val="22"/>
                <w:szCs w:val="22"/>
              </w:rPr>
            </w:pPr>
            <w:r w:rsidRPr="00DD28DA">
              <w:rPr>
                <w:rFonts w:cs="Arial"/>
                <w:i/>
                <w:sz w:val="22"/>
                <w:szCs w:val="22"/>
              </w:rPr>
              <w:t>III. Que la información no sea conocida por la contraparte antes de la presentación de la misma en el proceso, y</w:t>
            </w:r>
            <w:r w:rsidR="006C5F52" w:rsidRPr="00DD28DA">
              <w:rPr>
                <w:rFonts w:cs="Arial"/>
                <w:i/>
                <w:sz w:val="22"/>
                <w:szCs w:val="22"/>
              </w:rPr>
              <w:t xml:space="preserve"> </w:t>
            </w:r>
          </w:p>
          <w:p w:rsidR="002B53DF" w:rsidRPr="00DD28DA" w:rsidRDefault="002B53DF" w:rsidP="006C5F52">
            <w:pPr>
              <w:pStyle w:val="Texto0"/>
              <w:spacing w:line="230" w:lineRule="exact"/>
              <w:ind w:left="708" w:firstLine="0"/>
              <w:rPr>
                <w:rFonts w:cs="Arial"/>
                <w:i/>
                <w:sz w:val="22"/>
                <w:szCs w:val="22"/>
              </w:rPr>
            </w:pPr>
            <w:r w:rsidRPr="00DD28DA">
              <w:rPr>
                <w:rFonts w:cs="Arial"/>
                <w:i/>
                <w:sz w:val="22"/>
                <w:szCs w:val="22"/>
              </w:rPr>
              <w:t xml:space="preserve">IV. Que con su divulgación se afecte la oportunidad de llevar a cabo </w:t>
            </w:r>
            <w:proofErr w:type="gramStart"/>
            <w:r w:rsidRPr="00DD28DA">
              <w:rPr>
                <w:rFonts w:cs="Arial"/>
                <w:i/>
                <w:sz w:val="22"/>
                <w:szCs w:val="22"/>
              </w:rPr>
              <w:t>alguna</w:t>
            </w:r>
            <w:proofErr w:type="gramEnd"/>
            <w:r w:rsidRPr="00DD28DA">
              <w:rPr>
                <w:rFonts w:cs="Arial"/>
                <w:i/>
                <w:sz w:val="22"/>
                <w:szCs w:val="22"/>
              </w:rPr>
              <w:t xml:space="preserve"> de las garantías del debido proceso.</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2B53DF">
            <w:pPr>
              <w:tabs>
                <w:tab w:val="center" w:pos="4419"/>
                <w:tab w:val="right" w:pos="8838"/>
              </w:tabs>
              <w:jc w:val="center"/>
              <w:rPr>
                <w:rFonts w:ascii="Arial" w:hAnsi="Arial" w:cs="Arial"/>
                <w:sz w:val="22"/>
                <w:szCs w:val="22"/>
              </w:rPr>
            </w:pPr>
            <w:r w:rsidRPr="00DD28DA">
              <w:rPr>
                <w:rFonts w:ascii="Arial" w:hAnsi="Arial" w:cs="Arial"/>
                <w:sz w:val="22"/>
                <w:szCs w:val="22"/>
              </w:rPr>
              <w:t>La fecha de clasificación</w:t>
            </w:r>
          </w:p>
        </w:tc>
        <w:tc>
          <w:tcPr>
            <w:tcW w:w="8080" w:type="dxa"/>
          </w:tcPr>
          <w:p w:rsidR="002B53DF" w:rsidRPr="00DD28DA" w:rsidRDefault="002B53DF" w:rsidP="006E6122">
            <w:pPr>
              <w:tabs>
                <w:tab w:val="center" w:pos="4419"/>
                <w:tab w:val="right" w:pos="8838"/>
              </w:tabs>
              <w:rPr>
                <w:rFonts w:ascii="Arial" w:hAnsi="Arial" w:cs="Arial"/>
                <w:sz w:val="22"/>
                <w:szCs w:val="22"/>
              </w:rPr>
            </w:pPr>
          </w:p>
          <w:p w:rsidR="002B53DF" w:rsidRPr="00DD28DA" w:rsidRDefault="00BE1D8C" w:rsidP="00BE1D8C">
            <w:pPr>
              <w:tabs>
                <w:tab w:val="center" w:pos="4419"/>
                <w:tab w:val="right" w:pos="8838"/>
              </w:tabs>
              <w:rPr>
                <w:rFonts w:ascii="Arial" w:hAnsi="Arial" w:cs="Arial"/>
                <w:sz w:val="22"/>
                <w:szCs w:val="22"/>
              </w:rPr>
            </w:pPr>
            <w:r w:rsidRPr="00DD28DA">
              <w:rPr>
                <w:rFonts w:ascii="Arial" w:hAnsi="Arial" w:cs="Arial"/>
                <w:sz w:val="22"/>
                <w:szCs w:val="22"/>
              </w:rPr>
              <w:t>04</w:t>
            </w:r>
            <w:r w:rsidR="002B53DF" w:rsidRPr="00DD28DA">
              <w:rPr>
                <w:rFonts w:ascii="Arial" w:hAnsi="Arial" w:cs="Arial"/>
                <w:sz w:val="22"/>
                <w:szCs w:val="22"/>
              </w:rPr>
              <w:t xml:space="preserve"> de </w:t>
            </w:r>
            <w:r w:rsidRPr="00DD28DA">
              <w:rPr>
                <w:rFonts w:ascii="Arial" w:hAnsi="Arial" w:cs="Arial"/>
                <w:sz w:val="22"/>
                <w:szCs w:val="22"/>
              </w:rPr>
              <w:t>septiembre</w:t>
            </w:r>
            <w:r w:rsidR="002B53DF" w:rsidRPr="00DD28DA">
              <w:rPr>
                <w:rFonts w:ascii="Arial" w:hAnsi="Arial" w:cs="Arial"/>
                <w:sz w:val="22"/>
                <w:szCs w:val="22"/>
              </w:rPr>
              <w:t xml:space="preserve"> de 2017</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El fundamento legal de la clasificación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DD28DA" w:rsidRPr="00DD28DA" w:rsidRDefault="00DD28DA" w:rsidP="00DD28DA">
            <w:pPr>
              <w:rPr>
                <w:rFonts w:ascii="Arial" w:hAnsi="Arial" w:cs="Arial"/>
                <w:sz w:val="22"/>
                <w:szCs w:val="22"/>
              </w:rPr>
            </w:pPr>
            <w:r w:rsidRPr="00DD28DA">
              <w:rPr>
                <w:rFonts w:ascii="Arial" w:hAnsi="Arial" w:cs="Arial"/>
                <w:b/>
                <w:sz w:val="22"/>
                <w:szCs w:val="22"/>
              </w:rPr>
              <w:t>Artículo 117</w:t>
            </w:r>
            <w:r w:rsidRPr="00DD28DA">
              <w:rPr>
                <w:rFonts w:ascii="Arial" w:hAnsi="Arial" w:cs="Arial"/>
                <w:sz w:val="22"/>
                <w:szCs w:val="22"/>
              </w:rPr>
              <w:t xml:space="preserve"> de la Ley de Fiscalización Superior y Rendición de Cuentas para el Estado de Veracruz de Ignacio de la Llave.</w:t>
            </w:r>
          </w:p>
          <w:p w:rsidR="00DD28DA" w:rsidRPr="00DD28DA" w:rsidRDefault="00DD28DA" w:rsidP="00DD28DA">
            <w:pPr>
              <w:rPr>
                <w:rFonts w:ascii="Arial" w:hAnsi="Arial" w:cs="Arial"/>
                <w:sz w:val="22"/>
                <w:szCs w:val="22"/>
              </w:rPr>
            </w:pPr>
            <w:r w:rsidRPr="00DD28DA">
              <w:rPr>
                <w:rFonts w:ascii="Arial" w:hAnsi="Arial" w:cs="Arial"/>
                <w:b/>
                <w:sz w:val="22"/>
                <w:szCs w:val="22"/>
              </w:rPr>
              <w:t>Artículo 68 Fracciones VI, IX y X</w:t>
            </w:r>
            <w:r w:rsidRPr="00DD28DA">
              <w:rPr>
                <w:rFonts w:ascii="Arial" w:hAnsi="Arial" w:cs="Arial"/>
                <w:sz w:val="22"/>
                <w:szCs w:val="22"/>
              </w:rPr>
              <w:t xml:space="preserve"> de la Ley Número 875 de Transparencia y Acceso a la Información Pública para el Estado de Veracruz de Ignacio de la Llave. </w:t>
            </w:r>
          </w:p>
          <w:p w:rsidR="00DD28DA" w:rsidRPr="00DD28DA" w:rsidRDefault="00DD28DA" w:rsidP="00DD28DA">
            <w:pPr>
              <w:rPr>
                <w:rFonts w:ascii="Arial" w:hAnsi="Arial" w:cs="Arial"/>
                <w:sz w:val="22"/>
                <w:szCs w:val="22"/>
              </w:rPr>
            </w:pPr>
            <w:r w:rsidRPr="00DD28DA">
              <w:rPr>
                <w:rFonts w:ascii="Arial" w:hAnsi="Arial" w:cs="Arial"/>
                <w:b/>
                <w:sz w:val="22"/>
                <w:szCs w:val="22"/>
              </w:rPr>
              <w:t>Artículo 113</w:t>
            </w:r>
            <w:r w:rsidRPr="00DD28DA">
              <w:rPr>
                <w:rFonts w:ascii="Arial" w:hAnsi="Arial" w:cs="Arial"/>
                <w:sz w:val="22"/>
                <w:szCs w:val="22"/>
              </w:rPr>
              <w:t xml:space="preserve"> fracción XIII de la Ley General de Transparencia y Acceso a la Información Pública.</w:t>
            </w:r>
          </w:p>
          <w:p w:rsidR="00DD28DA" w:rsidRPr="00DD28DA" w:rsidRDefault="00DD28DA" w:rsidP="00DD28DA">
            <w:pPr>
              <w:pStyle w:val="Texto0"/>
              <w:spacing w:line="230" w:lineRule="exact"/>
              <w:ind w:firstLine="0"/>
              <w:rPr>
                <w:rFonts w:eastAsia="Calibri" w:cs="Arial"/>
                <w:b/>
                <w:sz w:val="22"/>
                <w:szCs w:val="22"/>
                <w:lang w:val="es-MX" w:eastAsia="en-US"/>
              </w:rPr>
            </w:pPr>
            <w:r w:rsidRPr="00DD28DA">
              <w:rPr>
                <w:rFonts w:eastAsia="Calibri" w:cs="Arial"/>
                <w:b/>
                <w:sz w:val="22"/>
                <w:szCs w:val="22"/>
                <w:lang w:val="es-MX" w:eastAsia="en-US"/>
              </w:rPr>
              <w:t>Lineamientos Generales en materia de Clasificación y Desclasificación de la Información, así como para la Elaboración de Versiones Públicas:</w:t>
            </w:r>
          </w:p>
          <w:p w:rsidR="00DD28DA" w:rsidRPr="00DD28DA" w:rsidRDefault="00DD28DA" w:rsidP="00DD28DA">
            <w:pPr>
              <w:pStyle w:val="Texto0"/>
              <w:spacing w:line="230" w:lineRule="exact"/>
              <w:ind w:firstLine="0"/>
              <w:rPr>
                <w:rFonts w:eastAsia="Calibri" w:cs="Arial"/>
                <w:sz w:val="22"/>
                <w:szCs w:val="22"/>
                <w:lang w:val="es-MX" w:eastAsia="en-US"/>
              </w:rPr>
            </w:pPr>
            <w:r w:rsidRPr="00DD28DA">
              <w:rPr>
                <w:rFonts w:eastAsia="Calibri" w:cs="Arial"/>
                <w:b/>
                <w:sz w:val="22"/>
                <w:szCs w:val="22"/>
                <w:lang w:val="es-MX" w:eastAsia="en-US"/>
              </w:rPr>
              <w:t>Trigésimo segundo.</w:t>
            </w:r>
            <w:r w:rsidRPr="00DD28DA">
              <w:rPr>
                <w:rFonts w:eastAsia="Calibri" w:cs="Arial"/>
                <w:sz w:val="22"/>
                <w:szCs w:val="22"/>
                <w:lang w:val="es-MX" w:eastAsia="en-US"/>
              </w:rPr>
              <w:t xml:space="preserve"> De conformidad con el artículo 113, fracción XIII de la Ley General, podrá considerarse como información reservada, aquella que por disposición expresa de una ley o de un Tratado Internacional del que el Estado mexicano sea parte, le otorgue tal carácter siempre que no se contravenga lo establecido en la Ley General. Para que se actualice este supuesto de reserva, los sujetos obligados deberán fundar y motivar la clasificación de la información, señalando de manera específica el supuesto normativo que expresamente le </w:t>
            </w:r>
            <w:r w:rsidRPr="00DD28DA">
              <w:rPr>
                <w:rFonts w:eastAsia="Calibri" w:cs="Arial"/>
                <w:sz w:val="22"/>
                <w:szCs w:val="22"/>
                <w:lang w:val="es-MX" w:eastAsia="en-US"/>
              </w:rPr>
              <w:lastRenderedPageBreak/>
              <w:t xml:space="preserve">otorga ese carácter. </w:t>
            </w:r>
          </w:p>
          <w:p w:rsidR="002B53DF" w:rsidRPr="00DD28DA" w:rsidRDefault="00DD28DA" w:rsidP="00DD28DA">
            <w:pPr>
              <w:rPr>
                <w:rFonts w:ascii="Arial" w:hAnsi="Arial" w:cs="Arial"/>
                <w:sz w:val="22"/>
                <w:szCs w:val="22"/>
              </w:rPr>
            </w:pPr>
            <w:r w:rsidRPr="00DD28DA">
              <w:rPr>
                <w:rFonts w:ascii="Arial" w:hAnsi="Arial" w:cs="Arial"/>
                <w:b/>
                <w:sz w:val="22"/>
                <w:szCs w:val="22"/>
              </w:rPr>
              <w:t>Trigésimo tercero</w:t>
            </w:r>
            <w:r w:rsidRPr="00DD28DA">
              <w:rPr>
                <w:rFonts w:ascii="Arial" w:hAnsi="Arial" w:cs="Arial"/>
                <w:sz w:val="22"/>
                <w:szCs w:val="22"/>
              </w:rPr>
              <w:t>. Para la aplicación de la prueba de daño a la que hace referencia el artículo 104 de la Ley General, los sujetos obligados atenderán lo siguiente: 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p>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Razones y motivos de la clasificación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ED13F4" w:rsidRPr="00DD28DA" w:rsidRDefault="00ED13F4" w:rsidP="00ED13F4">
            <w:pPr>
              <w:rPr>
                <w:rFonts w:ascii="Arial" w:hAnsi="Arial" w:cs="Arial"/>
                <w:i/>
                <w:sz w:val="22"/>
                <w:szCs w:val="22"/>
              </w:rPr>
            </w:pPr>
            <w:r w:rsidRPr="00DD28DA">
              <w:rPr>
                <w:rFonts w:ascii="Arial" w:hAnsi="Arial" w:cs="Arial"/>
                <w:sz w:val="22"/>
                <w:szCs w:val="22"/>
              </w:rPr>
              <w:t xml:space="preserve">La Ley Número 584 de Fiscalización Superior y Rendición de Cuentas para el Estado de Veracruz de Ignacio de la Llave señala que </w:t>
            </w:r>
            <w:r w:rsidRPr="00DD28DA">
              <w:rPr>
                <w:rFonts w:ascii="Arial" w:hAnsi="Arial" w:cs="Arial"/>
                <w:i/>
                <w:sz w:val="22"/>
                <w:szCs w:val="22"/>
              </w:rPr>
              <w:t xml:space="preserve">la información que genere, reciba, recopile o resguarde el Ente Fiscalizador tendrá el carácter de pública o restringida, en términos de la ley de la materia; pero, en todo caso, </w:t>
            </w:r>
            <w:r w:rsidRPr="00DD28DA">
              <w:rPr>
                <w:rFonts w:ascii="Arial" w:hAnsi="Arial" w:cs="Arial"/>
                <w:i/>
                <w:sz w:val="22"/>
                <w:szCs w:val="22"/>
                <w:u w:val="single"/>
              </w:rPr>
              <w:t>deberá guardar reserva de sus actuaciones y observaciones mientras el Congreso no apruebe el Informe del Resultado de las Cuentas Públicas.</w:t>
            </w:r>
          </w:p>
          <w:p w:rsidR="00ED13F4" w:rsidRPr="00DD28DA" w:rsidRDefault="00ED13F4" w:rsidP="00ED13F4">
            <w:pPr>
              <w:rPr>
                <w:rFonts w:ascii="Arial" w:hAnsi="Arial" w:cs="Arial"/>
                <w:i/>
                <w:sz w:val="22"/>
                <w:szCs w:val="22"/>
              </w:rPr>
            </w:pPr>
            <w:r w:rsidRPr="00DD28DA">
              <w:rPr>
                <w:rFonts w:ascii="Arial" w:hAnsi="Arial" w:cs="Arial"/>
                <w:i/>
                <w:sz w:val="22"/>
                <w:szCs w:val="22"/>
              </w:rPr>
              <w:t xml:space="preserve">Una vez aprobado, el Órgano lo publicará en su página electrónica de la red informática conocida como internet. </w:t>
            </w:r>
          </w:p>
          <w:p w:rsidR="00ED13F4" w:rsidRPr="00DD28DA" w:rsidRDefault="00ED13F4" w:rsidP="00ED13F4">
            <w:pPr>
              <w:rPr>
                <w:rFonts w:ascii="Arial" w:hAnsi="Arial" w:cs="Arial"/>
                <w:sz w:val="22"/>
                <w:szCs w:val="22"/>
              </w:rPr>
            </w:pPr>
            <w:r w:rsidRPr="00DD28DA">
              <w:rPr>
                <w:rFonts w:ascii="Arial" w:hAnsi="Arial" w:cs="Arial"/>
                <w:sz w:val="22"/>
                <w:szCs w:val="22"/>
              </w:rPr>
              <w:t>En virtud de lo anterior y considerando que las cuentas públicas de los Entes Fiscalizables Estatales correspondientes al ejercicio 2016 con motivo de revisión por este Órgano de Fiscalización Superior, de conformidad con la solicitud emitida por el H. Congreso del Estado a través de la Comisión Permanente de Vigilancia mediante</w:t>
            </w:r>
            <w:r w:rsidRPr="00DD28DA">
              <w:rPr>
                <w:rFonts w:ascii="Arial" w:hAnsi="Arial" w:cs="Arial"/>
                <w:b/>
                <w:sz w:val="22"/>
                <w:szCs w:val="22"/>
              </w:rPr>
              <w:t xml:space="preserve"> </w:t>
            </w:r>
            <w:r w:rsidRPr="00DD28DA">
              <w:rPr>
                <w:rFonts w:ascii="Arial" w:hAnsi="Arial" w:cs="Arial"/>
                <w:sz w:val="22"/>
                <w:szCs w:val="22"/>
              </w:rPr>
              <w:t>oficio número: CV/083/2017 de fecha siete de abril del presente año, resulta necesario reservar dichas cuentas y la información que derive de la primera fase de comprobación del procedimiento de fiscalización superior hasta en tanto no sean dictaminados los Informes del Resultado por el H. Congreso del Estado.</w:t>
            </w:r>
          </w:p>
          <w:p w:rsidR="00ED13F4" w:rsidRPr="00DD28DA" w:rsidRDefault="00ED13F4" w:rsidP="00ED13F4">
            <w:pPr>
              <w:rPr>
                <w:rFonts w:ascii="Arial" w:hAnsi="Arial" w:cs="Arial"/>
                <w:sz w:val="22"/>
                <w:szCs w:val="22"/>
              </w:rPr>
            </w:pPr>
            <w:r w:rsidRPr="00DD28DA">
              <w:rPr>
                <w:rFonts w:ascii="Arial" w:hAnsi="Arial" w:cs="Arial"/>
                <w:sz w:val="22"/>
                <w:szCs w:val="22"/>
              </w:rPr>
              <w:t>No se omite manifestar que el plazo de reserva por dos meses deriva de los artículos 51, 52 y 53 de la Ley de la materia que señalan:</w:t>
            </w:r>
          </w:p>
          <w:p w:rsidR="00ED13F4" w:rsidRPr="00DD28DA" w:rsidRDefault="00ED13F4" w:rsidP="00ED13F4">
            <w:pPr>
              <w:rPr>
                <w:rFonts w:ascii="Arial" w:hAnsi="Arial" w:cs="Arial"/>
                <w:sz w:val="22"/>
                <w:szCs w:val="22"/>
              </w:rPr>
            </w:pPr>
            <w:r w:rsidRPr="00DD28DA">
              <w:rPr>
                <w:rFonts w:ascii="Arial" w:hAnsi="Arial" w:cs="Arial"/>
                <w:b/>
                <w:sz w:val="22"/>
                <w:szCs w:val="22"/>
              </w:rPr>
              <w:t>Artículo 51.</w:t>
            </w:r>
            <w:r w:rsidRPr="00DD28DA">
              <w:rPr>
                <w:rFonts w:ascii="Arial" w:hAnsi="Arial" w:cs="Arial"/>
                <w:sz w:val="22"/>
                <w:szCs w:val="22"/>
              </w:rPr>
              <w:t xml:space="preserve"> El Informe del Resultado se entregará al Congreso, por conducto de la Comisión, </w:t>
            </w:r>
            <w:r w:rsidRPr="00DD28DA">
              <w:rPr>
                <w:rFonts w:ascii="Arial" w:hAnsi="Arial" w:cs="Arial"/>
                <w:sz w:val="22"/>
                <w:szCs w:val="22"/>
                <w:u w:val="single"/>
              </w:rPr>
              <w:t>dentro de los primeros quince días del mes de octubre del año de presentación de las Cuentas Públicas correspondientes</w:t>
            </w:r>
            <w:r w:rsidRPr="00DD28DA">
              <w:rPr>
                <w:rFonts w:ascii="Arial" w:hAnsi="Arial" w:cs="Arial"/>
                <w:sz w:val="22"/>
                <w:szCs w:val="22"/>
              </w:rPr>
              <w:t xml:space="preserve">. </w:t>
            </w:r>
          </w:p>
          <w:p w:rsidR="00ED13F4" w:rsidRPr="00DD28DA" w:rsidRDefault="00ED13F4" w:rsidP="00ED13F4">
            <w:pPr>
              <w:rPr>
                <w:rFonts w:ascii="Arial" w:hAnsi="Arial" w:cs="Arial"/>
                <w:sz w:val="22"/>
                <w:szCs w:val="22"/>
              </w:rPr>
            </w:pPr>
            <w:r w:rsidRPr="00DD28DA">
              <w:rPr>
                <w:rFonts w:ascii="Arial" w:hAnsi="Arial" w:cs="Arial"/>
                <w:b/>
                <w:sz w:val="22"/>
                <w:szCs w:val="22"/>
              </w:rPr>
              <w:t>Artículo 52.</w:t>
            </w:r>
            <w:r w:rsidRPr="00DD28DA">
              <w:rPr>
                <w:rFonts w:ascii="Arial" w:hAnsi="Arial" w:cs="Arial"/>
                <w:sz w:val="22"/>
                <w:szCs w:val="22"/>
              </w:rPr>
              <w:t xml:space="preserve"> La Comisión, al recibir el Informe del Resultado, procederá a emitir el dictamen legislativo y propondrá, al someterlo a la aprobación del Congreso, en su caso, que se incoe la fase de determinación de responsabilidades y el </w:t>
            </w:r>
            <w:proofErr w:type="spellStart"/>
            <w:r w:rsidRPr="00DD28DA">
              <w:rPr>
                <w:rFonts w:ascii="Arial" w:hAnsi="Arial" w:cs="Arial"/>
                <w:sz w:val="22"/>
                <w:szCs w:val="22"/>
              </w:rPr>
              <w:t>fincamiento</w:t>
            </w:r>
            <w:proofErr w:type="spellEnd"/>
            <w:r w:rsidRPr="00DD28DA">
              <w:rPr>
                <w:rFonts w:ascii="Arial" w:hAnsi="Arial" w:cs="Arial"/>
                <w:sz w:val="22"/>
                <w:szCs w:val="22"/>
              </w:rPr>
              <w:t xml:space="preserve"> de indemnizaciones y sanciones, en contra de los servidores públicos o personas responsables que no solventaron los Pliegos de Observaciones que hagan presumible la existencia de irregularidades, el incumplimiento de las disposiciones aplicables al ejercicio de los recursos </w:t>
            </w:r>
            <w:r w:rsidRPr="00DD28DA">
              <w:rPr>
                <w:rFonts w:ascii="Arial" w:hAnsi="Arial" w:cs="Arial"/>
                <w:sz w:val="22"/>
                <w:szCs w:val="22"/>
              </w:rPr>
              <w:lastRenderedPageBreak/>
              <w:t xml:space="preserve">públicos o las conductas ilícitas que impliquen daño al patrimonio de los Entes Fiscalizables. </w:t>
            </w:r>
          </w:p>
          <w:p w:rsidR="002B53DF" w:rsidRPr="00DD28DA" w:rsidRDefault="00ED13F4" w:rsidP="00ED13F4">
            <w:pPr>
              <w:rPr>
                <w:rFonts w:ascii="Arial" w:hAnsi="Arial" w:cs="Arial"/>
                <w:sz w:val="22"/>
                <w:szCs w:val="22"/>
              </w:rPr>
            </w:pPr>
            <w:r w:rsidRPr="00DD28DA">
              <w:rPr>
                <w:rFonts w:ascii="Arial" w:hAnsi="Arial" w:cs="Arial"/>
                <w:b/>
                <w:sz w:val="22"/>
                <w:szCs w:val="22"/>
              </w:rPr>
              <w:t>Artículo 53.</w:t>
            </w:r>
            <w:r w:rsidRPr="00DD28DA">
              <w:rPr>
                <w:rFonts w:ascii="Arial" w:hAnsi="Arial" w:cs="Arial"/>
                <w:sz w:val="22"/>
                <w:szCs w:val="22"/>
              </w:rPr>
              <w:t xml:space="preserve"> Una vez que el Congreso apruebe el dictamen relativo al Informe del Resultado de las Cuentas Públicas, instruirá al Órgano, en su caso, la incoación de la fase de determinación de responsabilidades y </w:t>
            </w:r>
            <w:proofErr w:type="spellStart"/>
            <w:r w:rsidRPr="00DD28DA">
              <w:rPr>
                <w:rFonts w:ascii="Arial" w:hAnsi="Arial" w:cs="Arial"/>
                <w:sz w:val="22"/>
                <w:szCs w:val="22"/>
              </w:rPr>
              <w:t>fincamiento</w:t>
            </w:r>
            <w:proofErr w:type="spellEnd"/>
            <w:r w:rsidRPr="00DD28DA">
              <w:rPr>
                <w:rFonts w:ascii="Arial" w:hAnsi="Arial" w:cs="Arial"/>
                <w:sz w:val="22"/>
                <w:szCs w:val="22"/>
              </w:rPr>
              <w:t xml:space="preserve"> de indemnizaciones y sanciones a los servidores públicos o personas responsables.</w:t>
            </w:r>
          </w:p>
          <w:p w:rsidR="00ED13F4" w:rsidRPr="00DD28DA" w:rsidRDefault="00ED13F4" w:rsidP="00ED13F4">
            <w:pPr>
              <w:rPr>
                <w:rFonts w:ascii="Arial" w:hAnsi="Arial" w:cs="Arial"/>
                <w:sz w:val="22"/>
                <w:szCs w:val="22"/>
              </w:rPr>
            </w:pPr>
          </w:p>
          <w:p w:rsidR="00ED13F4" w:rsidRPr="00DD28DA" w:rsidRDefault="00ED13F4" w:rsidP="00ED13F4">
            <w:pPr>
              <w:rPr>
                <w:rFonts w:ascii="Arial" w:hAnsi="Arial" w:cs="Arial"/>
                <w:b/>
                <w:sz w:val="22"/>
                <w:szCs w:val="22"/>
              </w:rPr>
            </w:pPr>
            <w:r w:rsidRPr="00DD28DA">
              <w:rPr>
                <w:rFonts w:ascii="Arial" w:hAnsi="Arial" w:cs="Arial"/>
                <w:b/>
                <w:sz w:val="22"/>
                <w:szCs w:val="22"/>
              </w:rPr>
              <w:t>Supuesto del Artículo 70 fracción I</w:t>
            </w:r>
          </w:p>
          <w:p w:rsidR="00ED13F4" w:rsidRPr="00DD28DA" w:rsidRDefault="00ED13F4" w:rsidP="00ED13F4">
            <w:pPr>
              <w:rPr>
                <w:rFonts w:ascii="Arial" w:hAnsi="Arial" w:cs="Arial"/>
                <w:sz w:val="22"/>
                <w:szCs w:val="22"/>
              </w:rPr>
            </w:pPr>
            <w:r w:rsidRPr="00DD28DA">
              <w:rPr>
                <w:rFonts w:ascii="Arial" w:hAnsi="Arial" w:cs="Arial"/>
                <w:sz w:val="22"/>
                <w:szCs w:val="22"/>
              </w:rPr>
              <w:t>De los argumentos expuestos en el renglón que precede se advierte que corresponden legítimamente a la hipótesis contenidas en el artículo 113 fracción XIII de la Ley General de Transparencia y Acceso a la Información Pública, así como el artículo 68 fracciones VI, IX y X de la Ley Número 875 de Transparencia y Acceso a la Información Pública para el Estado de Veracruz de Ignacio de la Llave.</w:t>
            </w:r>
          </w:p>
          <w:p w:rsidR="00ED13F4" w:rsidRPr="00DD28DA" w:rsidRDefault="00ED13F4" w:rsidP="00ED13F4">
            <w:pPr>
              <w:rPr>
                <w:rFonts w:ascii="Arial" w:hAnsi="Arial" w:cs="Arial"/>
                <w:sz w:val="22"/>
                <w:szCs w:val="22"/>
              </w:rPr>
            </w:pPr>
          </w:p>
          <w:p w:rsidR="00ED13F4" w:rsidRPr="00DD28DA" w:rsidRDefault="00ED13F4" w:rsidP="00ED13F4">
            <w:pPr>
              <w:rPr>
                <w:rFonts w:ascii="Arial" w:hAnsi="Arial" w:cs="Arial"/>
                <w:b/>
                <w:sz w:val="22"/>
                <w:szCs w:val="22"/>
              </w:rPr>
            </w:pPr>
            <w:r w:rsidRPr="00DD28DA">
              <w:rPr>
                <w:rFonts w:ascii="Arial" w:hAnsi="Arial" w:cs="Arial"/>
                <w:b/>
                <w:sz w:val="22"/>
                <w:szCs w:val="22"/>
              </w:rPr>
              <w:t>Supuesto del Artículo 70 fracción II</w:t>
            </w:r>
          </w:p>
          <w:p w:rsidR="00ED13F4" w:rsidRPr="00DD28DA" w:rsidRDefault="00ED13F4" w:rsidP="00ED13F4">
            <w:pPr>
              <w:rPr>
                <w:rFonts w:ascii="Arial" w:hAnsi="Arial" w:cs="Arial"/>
                <w:sz w:val="22"/>
                <w:szCs w:val="22"/>
              </w:rPr>
            </w:pPr>
            <w:r w:rsidRPr="00DD28DA">
              <w:rPr>
                <w:rFonts w:ascii="Arial" w:hAnsi="Arial" w:cs="Arial"/>
                <w:sz w:val="22"/>
                <w:szCs w:val="22"/>
              </w:rPr>
              <w:t>El interés protegido es el cumplimiento del procedimiento de fiscalización superior de las cuentas públicas de los Entes Fiscalizables Estatales correspondientes al ejercicio 2016 conforme a los ordenamientos que señala la Ley Número 584 de Fiscalización Superior y Rendición de Cuentas para el Estado de Veracruz de Ignacio de la Llave.</w:t>
            </w:r>
          </w:p>
          <w:p w:rsidR="00ED13F4" w:rsidRPr="00DD28DA" w:rsidRDefault="00ED13F4" w:rsidP="00ED13F4">
            <w:pPr>
              <w:rPr>
                <w:rFonts w:ascii="Arial" w:hAnsi="Arial" w:cs="Arial"/>
                <w:sz w:val="22"/>
                <w:szCs w:val="22"/>
              </w:rPr>
            </w:pPr>
          </w:p>
          <w:p w:rsidR="00ED13F4" w:rsidRPr="00DD28DA" w:rsidRDefault="00ED13F4" w:rsidP="00ED13F4">
            <w:pPr>
              <w:rPr>
                <w:rFonts w:ascii="Arial" w:hAnsi="Arial" w:cs="Arial"/>
                <w:b/>
                <w:sz w:val="22"/>
                <w:szCs w:val="22"/>
              </w:rPr>
            </w:pPr>
            <w:r w:rsidRPr="00DD28DA">
              <w:rPr>
                <w:rFonts w:ascii="Arial" w:hAnsi="Arial" w:cs="Arial"/>
                <w:b/>
                <w:sz w:val="22"/>
                <w:szCs w:val="22"/>
              </w:rPr>
              <w:t>Supuesto del Artículo 70 fracción III</w:t>
            </w:r>
          </w:p>
          <w:p w:rsidR="00ED13F4" w:rsidRPr="00DD28DA" w:rsidRDefault="00ED13F4" w:rsidP="00ED13F4">
            <w:pPr>
              <w:rPr>
                <w:rFonts w:ascii="Arial" w:hAnsi="Arial" w:cs="Arial"/>
                <w:sz w:val="22"/>
                <w:szCs w:val="22"/>
              </w:rPr>
            </w:pPr>
            <w:r w:rsidRPr="00DD28DA">
              <w:rPr>
                <w:rFonts w:ascii="Arial" w:hAnsi="Arial" w:cs="Arial"/>
                <w:sz w:val="22"/>
                <w:szCs w:val="22"/>
              </w:rPr>
              <w:t>El procedimiento de fiscalización superior a las cuentas públicas 2016 aún no concluye, razón por la cual la Ley de la materia prevé su reserva, pues la información que en la fase de comprobación se genere, no es definitiva hasta que se generen los Informes del Resultado correspondientes y sean aprobados por el H. Congreso del Estado mediante el dictamen correspondiente, por lo que el interés protegido es mayor al interés público de conocerla.</w:t>
            </w:r>
          </w:p>
        </w:tc>
      </w:tr>
      <w:tr w:rsidR="002B53DF" w:rsidRPr="00DD28DA" w:rsidTr="00F67BA9">
        <w:tc>
          <w:tcPr>
            <w:tcW w:w="5211" w:type="dxa"/>
            <w:shd w:val="clear" w:color="auto" w:fill="auto"/>
          </w:tcPr>
          <w:p w:rsidR="002B53DF" w:rsidRPr="00F67BA9" w:rsidRDefault="002B53DF" w:rsidP="006E6122">
            <w:pPr>
              <w:tabs>
                <w:tab w:val="center" w:pos="4419"/>
                <w:tab w:val="right" w:pos="8838"/>
              </w:tabs>
              <w:jc w:val="center"/>
              <w:rPr>
                <w:rFonts w:ascii="Arial" w:hAnsi="Arial" w:cs="Arial"/>
                <w:sz w:val="22"/>
                <w:szCs w:val="22"/>
              </w:rPr>
            </w:pPr>
          </w:p>
          <w:p w:rsidR="002B53DF" w:rsidRPr="00F67BA9" w:rsidRDefault="002B53DF" w:rsidP="006E6122">
            <w:pPr>
              <w:tabs>
                <w:tab w:val="center" w:pos="4419"/>
                <w:tab w:val="right" w:pos="8838"/>
              </w:tabs>
              <w:jc w:val="center"/>
              <w:rPr>
                <w:rFonts w:ascii="Arial" w:hAnsi="Arial" w:cs="Arial"/>
                <w:sz w:val="22"/>
                <w:szCs w:val="22"/>
              </w:rPr>
            </w:pPr>
            <w:r w:rsidRPr="00F67BA9">
              <w:rPr>
                <w:rFonts w:ascii="Arial" w:hAnsi="Arial" w:cs="Arial"/>
                <w:sz w:val="22"/>
                <w:szCs w:val="22"/>
              </w:rPr>
              <w:t xml:space="preserve">Señalar si se trata de una clasificación completa o parcial </w:t>
            </w:r>
          </w:p>
          <w:p w:rsidR="002B53DF" w:rsidRPr="00F67BA9" w:rsidRDefault="002B53DF" w:rsidP="006E6122">
            <w:pPr>
              <w:tabs>
                <w:tab w:val="center" w:pos="4419"/>
                <w:tab w:val="right" w:pos="8838"/>
              </w:tabs>
              <w:jc w:val="center"/>
              <w:rPr>
                <w:rFonts w:ascii="Arial" w:hAnsi="Arial" w:cs="Arial"/>
                <w:sz w:val="22"/>
                <w:szCs w:val="22"/>
              </w:rPr>
            </w:pPr>
          </w:p>
        </w:tc>
        <w:tc>
          <w:tcPr>
            <w:tcW w:w="8080" w:type="dxa"/>
            <w:shd w:val="clear" w:color="auto" w:fill="auto"/>
          </w:tcPr>
          <w:p w:rsidR="002B53DF" w:rsidRPr="00F67BA9" w:rsidRDefault="002B53DF" w:rsidP="006E6122">
            <w:pPr>
              <w:tabs>
                <w:tab w:val="center" w:pos="4419"/>
                <w:tab w:val="right" w:pos="8838"/>
              </w:tabs>
              <w:rPr>
                <w:rFonts w:ascii="Arial" w:hAnsi="Arial" w:cs="Arial"/>
                <w:sz w:val="22"/>
                <w:szCs w:val="22"/>
              </w:rPr>
            </w:pPr>
          </w:p>
          <w:p w:rsidR="002B53DF" w:rsidRPr="00F67BA9" w:rsidRDefault="002B53DF" w:rsidP="006E6122">
            <w:pPr>
              <w:tabs>
                <w:tab w:val="center" w:pos="4419"/>
                <w:tab w:val="right" w:pos="8838"/>
              </w:tabs>
              <w:rPr>
                <w:rFonts w:ascii="Arial" w:hAnsi="Arial" w:cs="Arial"/>
                <w:sz w:val="22"/>
                <w:szCs w:val="22"/>
              </w:rPr>
            </w:pPr>
            <w:r w:rsidRPr="00F67BA9">
              <w:rPr>
                <w:rFonts w:ascii="Arial" w:hAnsi="Arial" w:cs="Arial"/>
                <w:sz w:val="22"/>
                <w:szCs w:val="22"/>
              </w:rPr>
              <w:t>Clasificación completa</w:t>
            </w:r>
          </w:p>
        </w:tc>
      </w:tr>
      <w:tr w:rsidR="002B53DF" w:rsidRPr="00DD28DA" w:rsidTr="005F47B9">
        <w:tc>
          <w:tcPr>
            <w:tcW w:w="5211" w:type="dxa"/>
          </w:tcPr>
          <w:p w:rsidR="002B53DF" w:rsidRPr="00DD28DA" w:rsidRDefault="002B53DF" w:rsidP="002B53DF">
            <w:pPr>
              <w:tabs>
                <w:tab w:val="center" w:pos="4419"/>
                <w:tab w:val="right" w:pos="8838"/>
              </w:tabs>
              <w:jc w:val="center"/>
              <w:rPr>
                <w:rFonts w:ascii="Arial" w:hAnsi="Arial" w:cs="Arial"/>
                <w:sz w:val="22"/>
                <w:szCs w:val="22"/>
              </w:rPr>
            </w:pPr>
            <w:r w:rsidRPr="00DD28DA">
              <w:rPr>
                <w:rFonts w:ascii="Arial" w:hAnsi="Arial" w:cs="Arial"/>
                <w:sz w:val="22"/>
                <w:szCs w:val="22"/>
              </w:rPr>
              <w:t>En caso de ser parcial, las partes del documento que son reservadas</w:t>
            </w:r>
          </w:p>
        </w:tc>
        <w:tc>
          <w:tcPr>
            <w:tcW w:w="8080" w:type="dxa"/>
            <w:shd w:val="clear" w:color="auto" w:fill="A6A6A6" w:themeFill="background1" w:themeFillShade="A6"/>
          </w:tcPr>
          <w:p w:rsidR="002B53DF" w:rsidRPr="00DD28DA" w:rsidRDefault="002B53DF" w:rsidP="006E6122">
            <w:pPr>
              <w:tabs>
                <w:tab w:val="center" w:pos="4419"/>
                <w:tab w:val="right" w:pos="8838"/>
              </w:tabs>
              <w:rPr>
                <w:rFonts w:ascii="Arial" w:hAnsi="Arial" w:cs="Arial"/>
                <w:sz w:val="22"/>
                <w:szCs w:val="22"/>
              </w:rPr>
            </w:pPr>
          </w:p>
        </w:tc>
      </w:tr>
      <w:tr w:rsidR="002B53DF" w:rsidRPr="00DD28DA" w:rsidTr="00824B75">
        <w:tc>
          <w:tcPr>
            <w:tcW w:w="5211" w:type="dxa"/>
          </w:tcPr>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lastRenderedPageBreak/>
              <w:t xml:space="preserve">En su caso, la fecha del acta en donde el Comité de Transparencia confirmó la clasificación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shd w:val="clear" w:color="auto" w:fill="auto"/>
          </w:tcPr>
          <w:p w:rsidR="006C5F52" w:rsidRPr="00DD28DA" w:rsidRDefault="006C5F52" w:rsidP="006C5F52">
            <w:pPr>
              <w:tabs>
                <w:tab w:val="center" w:pos="4419"/>
                <w:tab w:val="right" w:pos="8838"/>
              </w:tabs>
              <w:rPr>
                <w:rFonts w:ascii="Arial" w:hAnsi="Arial" w:cs="Arial"/>
                <w:sz w:val="22"/>
                <w:szCs w:val="22"/>
              </w:rPr>
            </w:pPr>
          </w:p>
          <w:p w:rsidR="002B53DF" w:rsidRPr="00DD28DA" w:rsidRDefault="006C5F52" w:rsidP="006C5F52">
            <w:pPr>
              <w:tabs>
                <w:tab w:val="center" w:pos="4419"/>
                <w:tab w:val="right" w:pos="8838"/>
              </w:tabs>
              <w:rPr>
                <w:rFonts w:ascii="Arial" w:hAnsi="Arial" w:cs="Arial"/>
                <w:sz w:val="22"/>
                <w:szCs w:val="22"/>
              </w:rPr>
            </w:pPr>
            <w:r w:rsidRPr="00DD28DA">
              <w:rPr>
                <w:rFonts w:ascii="Arial" w:hAnsi="Arial" w:cs="Arial"/>
                <w:sz w:val="22"/>
                <w:szCs w:val="22"/>
              </w:rPr>
              <w:t>04 de septiembre de 2017</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El plazo de reserva y si se encuentra o no en prórroga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2B53DF" w:rsidRPr="00DD28DA" w:rsidRDefault="002B53DF" w:rsidP="002B53DF">
            <w:pPr>
              <w:tabs>
                <w:tab w:val="center" w:pos="4419"/>
                <w:tab w:val="right" w:pos="8838"/>
              </w:tabs>
              <w:rPr>
                <w:rFonts w:ascii="Arial" w:hAnsi="Arial" w:cs="Arial"/>
                <w:sz w:val="22"/>
                <w:szCs w:val="22"/>
              </w:rPr>
            </w:pPr>
          </w:p>
          <w:p w:rsidR="002B53DF" w:rsidRPr="00DD28DA" w:rsidRDefault="006C5F52" w:rsidP="00E835D7">
            <w:pPr>
              <w:tabs>
                <w:tab w:val="center" w:pos="4419"/>
                <w:tab w:val="right" w:pos="8838"/>
              </w:tabs>
              <w:rPr>
                <w:rFonts w:ascii="Arial" w:hAnsi="Arial" w:cs="Arial"/>
                <w:sz w:val="22"/>
                <w:szCs w:val="22"/>
              </w:rPr>
            </w:pPr>
            <w:r w:rsidRPr="00DD28DA">
              <w:rPr>
                <w:rFonts w:ascii="Arial" w:hAnsi="Arial" w:cs="Arial"/>
                <w:sz w:val="22"/>
                <w:szCs w:val="22"/>
              </w:rPr>
              <w:t>Se reserva por dos meses</w:t>
            </w:r>
          </w:p>
        </w:tc>
      </w:tr>
      <w:tr w:rsidR="002B53DF" w:rsidRPr="00DD28DA" w:rsidTr="00E550EE">
        <w:tc>
          <w:tcPr>
            <w:tcW w:w="5211" w:type="dxa"/>
          </w:tcPr>
          <w:p w:rsidR="002B53DF" w:rsidRPr="00DD28DA" w:rsidRDefault="002B53DF" w:rsidP="002B53DF">
            <w:pPr>
              <w:tabs>
                <w:tab w:val="center" w:pos="4419"/>
                <w:tab w:val="right" w:pos="8838"/>
              </w:tabs>
              <w:jc w:val="center"/>
              <w:rPr>
                <w:rFonts w:ascii="Arial" w:hAnsi="Arial" w:cs="Arial"/>
                <w:sz w:val="22"/>
                <w:szCs w:val="22"/>
              </w:rPr>
            </w:pPr>
            <w:r w:rsidRPr="00DD28DA">
              <w:rPr>
                <w:rFonts w:ascii="Arial" w:hAnsi="Arial" w:cs="Arial"/>
                <w:sz w:val="22"/>
                <w:szCs w:val="22"/>
              </w:rPr>
              <w:t xml:space="preserve">La fecha en que culmina el plazo de la clasificación </w:t>
            </w:r>
          </w:p>
        </w:tc>
        <w:tc>
          <w:tcPr>
            <w:tcW w:w="8080" w:type="dxa"/>
          </w:tcPr>
          <w:p w:rsidR="002B53DF" w:rsidRPr="00DD28DA" w:rsidRDefault="002B53DF" w:rsidP="006E6122">
            <w:pPr>
              <w:tabs>
                <w:tab w:val="center" w:pos="4419"/>
                <w:tab w:val="right" w:pos="8838"/>
              </w:tabs>
              <w:rPr>
                <w:rFonts w:ascii="Arial" w:hAnsi="Arial" w:cs="Arial"/>
                <w:sz w:val="22"/>
                <w:szCs w:val="22"/>
              </w:rPr>
            </w:pPr>
          </w:p>
          <w:p w:rsidR="002B53DF" w:rsidRPr="00DD28DA" w:rsidRDefault="006569B0" w:rsidP="006E6122">
            <w:pPr>
              <w:tabs>
                <w:tab w:val="center" w:pos="4419"/>
                <w:tab w:val="right" w:pos="8838"/>
              </w:tabs>
              <w:rPr>
                <w:rFonts w:ascii="Arial" w:hAnsi="Arial" w:cs="Arial"/>
                <w:sz w:val="22"/>
                <w:szCs w:val="22"/>
              </w:rPr>
            </w:pPr>
            <w:r w:rsidRPr="00DD28DA">
              <w:rPr>
                <w:rFonts w:ascii="Arial" w:hAnsi="Arial" w:cs="Arial"/>
                <w:sz w:val="22"/>
                <w:szCs w:val="22"/>
              </w:rPr>
              <w:t>N</w:t>
            </w:r>
            <w:r w:rsidR="00E835D7" w:rsidRPr="00DD28DA">
              <w:rPr>
                <w:rFonts w:ascii="Arial" w:hAnsi="Arial" w:cs="Arial"/>
                <w:sz w:val="22"/>
                <w:szCs w:val="22"/>
              </w:rPr>
              <w:t>oviembre</w:t>
            </w:r>
            <w:r w:rsidR="00201D56" w:rsidRPr="00DD28DA">
              <w:rPr>
                <w:rFonts w:ascii="Arial" w:hAnsi="Arial" w:cs="Arial"/>
                <w:sz w:val="22"/>
                <w:szCs w:val="22"/>
              </w:rPr>
              <w:t xml:space="preserve"> 2017</w:t>
            </w:r>
          </w:p>
        </w:tc>
      </w:tr>
      <w:tr w:rsidR="002B53DF" w:rsidRPr="00DD28DA" w:rsidTr="00E550EE">
        <w:tc>
          <w:tcPr>
            <w:tcW w:w="5211" w:type="dxa"/>
          </w:tcPr>
          <w:p w:rsidR="002B53DF" w:rsidRPr="00DD28DA" w:rsidRDefault="002B53DF" w:rsidP="006E6122">
            <w:pPr>
              <w:tabs>
                <w:tab w:val="center" w:pos="4419"/>
                <w:tab w:val="right" w:pos="8838"/>
              </w:tabs>
              <w:jc w:val="center"/>
              <w:rPr>
                <w:rFonts w:ascii="Arial" w:hAnsi="Arial" w:cs="Arial"/>
                <w:sz w:val="22"/>
                <w:szCs w:val="22"/>
              </w:rPr>
            </w:pPr>
            <w:r w:rsidRPr="00DD28DA">
              <w:rPr>
                <w:rFonts w:ascii="Arial" w:hAnsi="Arial" w:cs="Arial"/>
                <w:sz w:val="22"/>
                <w:szCs w:val="22"/>
              </w:rPr>
              <w:t xml:space="preserve">Las partes o secciones de los expedientes o documentos que se clasifican </w:t>
            </w:r>
          </w:p>
          <w:p w:rsidR="002B53DF" w:rsidRPr="00DD28DA" w:rsidRDefault="002B53DF" w:rsidP="006E6122">
            <w:pPr>
              <w:tabs>
                <w:tab w:val="center" w:pos="4419"/>
                <w:tab w:val="right" w:pos="8838"/>
              </w:tabs>
              <w:jc w:val="center"/>
              <w:rPr>
                <w:rFonts w:ascii="Arial" w:hAnsi="Arial" w:cs="Arial"/>
                <w:sz w:val="22"/>
                <w:szCs w:val="22"/>
              </w:rPr>
            </w:pPr>
          </w:p>
        </w:tc>
        <w:tc>
          <w:tcPr>
            <w:tcW w:w="8080" w:type="dxa"/>
          </w:tcPr>
          <w:p w:rsidR="002B53DF" w:rsidRPr="00DD28DA" w:rsidRDefault="006C5F52" w:rsidP="000716B4">
            <w:pPr>
              <w:tabs>
                <w:tab w:val="center" w:pos="4419"/>
                <w:tab w:val="right" w:pos="8838"/>
              </w:tabs>
              <w:rPr>
                <w:rFonts w:ascii="Arial" w:hAnsi="Arial" w:cs="Arial"/>
                <w:sz w:val="22"/>
                <w:szCs w:val="22"/>
              </w:rPr>
            </w:pPr>
            <w:r w:rsidRPr="00DD28DA">
              <w:rPr>
                <w:rFonts w:ascii="Arial" w:hAnsi="Arial" w:cs="Arial"/>
                <w:sz w:val="22"/>
                <w:szCs w:val="22"/>
              </w:rPr>
              <w:t xml:space="preserve">Cuentas públicas, papeles de trabajo, pliegos de observaciones, </w:t>
            </w:r>
            <w:proofErr w:type="spellStart"/>
            <w:r w:rsidRPr="00DD28DA">
              <w:rPr>
                <w:rFonts w:ascii="Arial" w:hAnsi="Arial" w:cs="Arial"/>
                <w:sz w:val="22"/>
                <w:szCs w:val="22"/>
              </w:rPr>
              <w:t>solventaciones</w:t>
            </w:r>
            <w:proofErr w:type="spellEnd"/>
            <w:r w:rsidRPr="00DD28DA">
              <w:rPr>
                <w:rFonts w:ascii="Arial" w:hAnsi="Arial" w:cs="Arial"/>
                <w:sz w:val="22"/>
                <w:szCs w:val="22"/>
              </w:rPr>
              <w:t xml:space="preserve"> e Informe del Resultado de la fase de comprobación del procedimiento de fiscalización superior a los Entes Fiscalizables Estatales correspondientes al ejercicio 2016.  </w:t>
            </w:r>
          </w:p>
        </w:tc>
      </w:tr>
    </w:tbl>
    <w:p w:rsidR="000716B4" w:rsidRPr="00403E3F" w:rsidRDefault="000716B4" w:rsidP="00C0340E">
      <w:pPr>
        <w:rPr>
          <w:rFonts w:ascii="Arial" w:hAnsi="Arial" w:cs="Arial"/>
        </w:rPr>
      </w:pPr>
    </w:p>
    <w:sectPr w:rsidR="000716B4" w:rsidRPr="00403E3F" w:rsidSect="00C0340E">
      <w:headerReference w:type="default" r:id="rId8"/>
      <w:pgSz w:w="15842" w:h="12242" w:orient="landscape" w:code="1"/>
      <w:pgMar w:top="1418" w:right="1134" w:bottom="1418" w:left="1559" w:header="709"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6B9" w:rsidRDefault="002626B9" w:rsidP="00F359C9">
      <w:r>
        <w:separator/>
      </w:r>
    </w:p>
  </w:endnote>
  <w:endnote w:type="continuationSeparator" w:id="0">
    <w:p w:rsidR="002626B9" w:rsidRDefault="002626B9" w:rsidP="00F3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6B9" w:rsidRDefault="002626B9" w:rsidP="00F359C9">
      <w:r>
        <w:separator/>
      </w:r>
    </w:p>
  </w:footnote>
  <w:footnote w:type="continuationSeparator" w:id="0">
    <w:p w:rsidR="002626B9" w:rsidRDefault="002626B9" w:rsidP="00F3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9" w:rsidRDefault="00311C93">
    <w:pPr>
      <w:pStyle w:val="Encabezado"/>
    </w:pPr>
    <w:r>
      <w:rPr>
        <w:rFonts w:ascii="Frutiger 55 Roman" w:hAnsi="Frutiger 55 Roman"/>
        <w:b/>
        <w:noProof/>
        <w:lang w:eastAsia="es-MX"/>
      </w:rPr>
      <mc:AlternateContent>
        <mc:Choice Requires="wps">
          <w:drawing>
            <wp:anchor distT="0" distB="0" distL="114300" distR="114300" simplePos="0" relativeHeight="251657216" behindDoc="0" locked="0" layoutInCell="1" allowOverlap="1" wp14:anchorId="4E7E4F9C" wp14:editId="5EC100C4">
              <wp:simplePos x="0" y="0"/>
              <wp:positionH relativeFrom="column">
                <wp:posOffset>4234815</wp:posOffset>
              </wp:positionH>
              <wp:positionV relativeFrom="paragraph">
                <wp:posOffset>-92710</wp:posOffset>
              </wp:positionV>
              <wp:extent cx="3340100" cy="277495"/>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2A" w:rsidRPr="00BB435D" w:rsidRDefault="0085202A" w:rsidP="008520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E7E4F9C" id="_x0000_t202" coordsize="21600,21600" o:spt="202" path="m,l,21600r21600,l21600,xe">
              <v:stroke joinstyle="miter"/>
              <v:path gradientshapeok="t" o:connecttype="rect"/>
            </v:shapetype>
            <v:shape id="Text Box 4" o:spid="_x0000_s1026" type="#_x0000_t202" style="position:absolute;left:0;text-align:left;margin-left:333.45pt;margin-top:-7.3pt;width:263pt;height:21.8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1gsgIAALk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" filled="f" stroked="f">
              <v:textbox style="mso-fit-shape-to-text:t">
                <w:txbxContent>
                  <w:p w:rsidR="0085202A" w:rsidRPr="00BB435D" w:rsidRDefault="0085202A" w:rsidP="0085202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B0863"/>
    <w:multiLevelType w:val="hybridMultilevel"/>
    <w:tmpl w:val="7FA44FF6"/>
    <w:lvl w:ilvl="0" w:tplc="0AC227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F6EA6"/>
    <w:multiLevelType w:val="hybridMultilevel"/>
    <w:tmpl w:val="62E8F8CA"/>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3"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5E0EAE"/>
    <w:multiLevelType w:val="hybridMultilevel"/>
    <w:tmpl w:val="6D2E1D90"/>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6" w15:restartNumberingAfterBreak="0">
    <w:nsid w:val="3ECE29CF"/>
    <w:multiLevelType w:val="hybridMultilevel"/>
    <w:tmpl w:val="CAD254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1060C5"/>
    <w:multiLevelType w:val="hybridMultilevel"/>
    <w:tmpl w:val="5182586C"/>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8"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605307"/>
    <w:multiLevelType w:val="hybridMultilevel"/>
    <w:tmpl w:val="A5760D4A"/>
    <w:lvl w:ilvl="0" w:tplc="080A0013">
      <w:start w:val="1"/>
      <w:numFmt w:val="upperRoman"/>
      <w:lvlText w:val="%1."/>
      <w:lvlJc w:val="righ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0" w15:restartNumberingAfterBreak="0">
    <w:nsid w:val="7F7C083D"/>
    <w:multiLevelType w:val="hybridMultilevel"/>
    <w:tmpl w:val="69CA091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10"/>
  </w:num>
  <w:num w:numId="3">
    <w:abstractNumId w:val="2"/>
  </w:num>
  <w:num w:numId="4">
    <w:abstractNumId w:val="9"/>
  </w:num>
  <w:num w:numId="5">
    <w:abstractNumId w:val="7"/>
  </w:num>
  <w:num w:numId="6">
    <w:abstractNumId w:val="1"/>
  </w:num>
  <w:num w:numId="7">
    <w:abstractNumId w:val="6"/>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9"/>
    <w:rsid w:val="000022F5"/>
    <w:rsid w:val="00002638"/>
    <w:rsid w:val="00020CD4"/>
    <w:rsid w:val="000273A0"/>
    <w:rsid w:val="0002767A"/>
    <w:rsid w:val="00036E96"/>
    <w:rsid w:val="000614A0"/>
    <w:rsid w:val="00067393"/>
    <w:rsid w:val="000716B4"/>
    <w:rsid w:val="00080985"/>
    <w:rsid w:val="000A341A"/>
    <w:rsid w:val="000D1403"/>
    <w:rsid w:val="000F22F3"/>
    <w:rsid w:val="00140CD7"/>
    <w:rsid w:val="00157D8B"/>
    <w:rsid w:val="00163C75"/>
    <w:rsid w:val="00165D60"/>
    <w:rsid w:val="0016783F"/>
    <w:rsid w:val="001803BF"/>
    <w:rsid w:val="001805AC"/>
    <w:rsid w:val="00181583"/>
    <w:rsid w:val="00181C40"/>
    <w:rsid w:val="00197A15"/>
    <w:rsid w:val="001A6250"/>
    <w:rsid w:val="001B2D05"/>
    <w:rsid w:val="001D2A2D"/>
    <w:rsid w:val="001F2BA4"/>
    <w:rsid w:val="001F6733"/>
    <w:rsid w:val="00201D56"/>
    <w:rsid w:val="002147BA"/>
    <w:rsid w:val="00234A12"/>
    <w:rsid w:val="00234E8C"/>
    <w:rsid w:val="002441EA"/>
    <w:rsid w:val="00252636"/>
    <w:rsid w:val="00254ECE"/>
    <w:rsid w:val="00261022"/>
    <w:rsid w:val="002611C6"/>
    <w:rsid w:val="002626B9"/>
    <w:rsid w:val="00262A52"/>
    <w:rsid w:val="00280079"/>
    <w:rsid w:val="002954D8"/>
    <w:rsid w:val="002B53DF"/>
    <w:rsid w:val="002C01DB"/>
    <w:rsid w:val="002C05F3"/>
    <w:rsid w:val="002F2A00"/>
    <w:rsid w:val="00300ACE"/>
    <w:rsid w:val="003068EA"/>
    <w:rsid w:val="00311C93"/>
    <w:rsid w:val="00332B93"/>
    <w:rsid w:val="00334C3C"/>
    <w:rsid w:val="00356BF6"/>
    <w:rsid w:val="0036149F"/>
    <w:rsid w:val="0036283F"/>
    <w:rsid w:val="00366728"/>
    <w:rsid w:val="003704D7"/>
    <w:rsid w:val="00381240"/>
    <w:rsid w:val="00387976"/>
    <w:rsid w:val="003A7817"/>
    <w:rsid w:val="003C037C"/>
    <w:rsid w:val="003D0E46"/>
    <w:rsid w:val="003D2D2E"/>
    <w:rsid w:val="003D5806"/>
    <w:rsid w:val="003F204B"/>
    <w:rsid w:val="004012D7"/>
    <w:rsid w:val="00417C4E"/>
    <w:rsid w:val="00423FE7"/>
    <w:rsid w:val="004253E0"/>
    <w:rsid w:val="00430754"/>
    <w:rsid w:val="0044226F"/>
    <w:rsid w:val="00462315"/>
    <w:rsid w:val="00463FE5"/>
    <w:rsid w:val="0047023A"/>
    <w:rsid w:val="004767AC"/>
    <w:rsid w:val="00493A02"/>
    <w:rsid w:val="004B2850"/>
    <w:rsid w:val="004B2B97"/>
    <w:rsid w:val="004B3509"/>
    <w:rsid w:val="004B3D1D"/>
    <w:rsid w:val="004B4726"/>
    <w:rsid w:val="004E5E1A"/>
    <w:rsid w:val="00500CE0"/>
    <w:rsid w:val="005460E3"/>
    <w:rsid w:val="005540CA"/>
    <w:rsid w:val="00587987"/>
    <w:rsid w:val="005936A5"/>
    <w:rsid w:val="005B6FE7"/>
    <w:rsid w:val="005D1286"/>
    <w:rsid w:val="005E57B6"/>
    <w:rsid w:val="005E64E8"/>
    <w:rsid w:val="005F47B9"/>
    <w:rsid w:val="00611DC8"/>
    <w:rsid w:val="006569B0"/>
    <w:rsid w:val="006615E1"/>
    <w:rsid w:val="006649CA"/>
    <w:rsid w:val="00665E7C"/>
    <w:rsid w:val="0067582A"/>
    <w:rsid w:val="00682529"/>
    <w:rsid w:val="00683467"/>
    <w:rsid w:val="006B5A17"/>
    <w:rsid w:val="006B76C1"/>
    <w:rsid w:val="006C5F52"/>
    <w:rsid w:val="006D1081"/>
    <w:rsid w:val="006D47F1"/>
    <w:rsid w:val="006F682A"/>
    <w:rsid w:val="006F6B3A"/>
    <w:rsid w:val="006F7177"/>
    <w:rsid w:val="00724090"/>
    <w:rsid w:val="00724DAF"/>
    <w:rsid w:val="007350A5"/>
    <w:rsid w:val="00744A51"/>
    <w:rsid w:val="00754B07"/>
    <w:rsid w:val="00763059"/>
    <w:rsid w:val="007809EF"/>
    <w:rsid w:val="00780B47"/>
    <w:rsid w:val="007B42C3"/>
    <w:rsid w:val="007C0D28"/>
    <w:rsid w:val="007C6E4F"/>
    <w:rsid w:val="007D3248"/>
    <w:rsid w:val="007D34B2"/>
    <w:rsid w:val="007F61D6"/>
    <w:rsid w:val="007F6346"/>
    <w:rsid w:val="00802E57"/>
    <w:rsid w:val="00824B75"/>
    <w:rsid w:val="00834E16"/>
    <w:rsid w:val="00835FD9"/>
    <w:rsid w:val="0084309B"/>
    <w:rsid w:val="0085202A"/>
    <w:rsid w:val="00883F64"/>
    <w:rsid w:val="008A35E1"/>
    <w:rsid w:val="008A3ED2"/>
    <w:rsid w:val="008A54B2"/>
    <w:rsid w:val="008B7872"/>
    <w:rsid w:val="008D1443"/>
    <w:rsid w:val="008D358F"/>
    <w:rsid w:val="008D663F"/>
    <w:rsid w:val="008E7625"/>
    <w:rsid w:val="008F664A"/>
    <w:rsid w:val="00907DF8"/>
    <w:rsid w:val="00910DFE"/>
    <w:rsid w:val="00923654"/>
    <w:rsid w:val="00931934"/>
    <w:rsid w:val="0095787E"/>
    <w:rsid w:val="00997131"/>
    <w:rsid w:val="009D6100"/>
    <w:rsid w:val="009E11FF"/>
    <w:rsid w:val="009E2F44"/>
    <w:rsid w:val="009F2A7E"/>
    <w:rsid w:val="009F6C72"/>
    <w:rsid w:val="00A00A29"/>
    <w:rsid w:val="00A00C2F"/>
    <w:rsid w:val="00A166EB"/>
    <w:rsid w:val="00A51F9D"/>
    <w:rsid w:val="00A5330A"/>
    <w:rsid w:val="00A54600"/>
    <w:rsid w:val="00AA6C7F"/>
    <w:rsid w:val="00AE090D"/>
    <w:rsid w:val="00AE0F27"/>
    <w:rsid w:val="00B05732"/>
    <w:rsid w:val="00B179C2"/>
    <w:rsid w:val="00B22F41"/>
    <w:rsid w:val="00B33E38"/>
    <w:rsid w:val="00B37F29"/>
    <w:rsid w:val="00B43A19"/>
    <w:rsid w:val="00B52C78"/>
    <w:rsid w:val="00B73D48"/>
    <w:rsid w:val="00B801EF"/>
    <w:rsid w:val="00B83310"/>
    <w:rsid w:val="00B97015"/>
    <w:rsid w:val="00BA3669"/>
    <w:rsid w:val="00BA5751"/>
    <w:rsid w:val="00BB110F"/>
    <w:rsid w:val="00BB4929"/>
    <w:rsid w:val="00BE1D8C"/>
    <w:rsid w:val="00BF4B71"/>
    <w:rsid w:val="00C0340E"/>
    <w:rsid w:val="00C173B4"/>
    <w:rsid w:val="00C47F8E"/>
    <w:rsid w:val="00C51ACD"/>
    <w:rsid w:val="00C60F75"/>
    <w:rsid w:val="00C77F8D"/>
    <w:rsid w:val="00C90148"/>
    <w:rsid w:val="00CE5820"/>
    <w:rsid w:val="00CF4981"/>
    <w:rsid w:val="00D052BD"/>
    <w:rsid w:val="00D16469"/>
    <w:rsid w:val="00D266DE"/>
    <w:rsid w:val="00D47C98"/>
    <w:rsid w:val="00D63E77"/>
    <w:rsid w:val="00D814FF"/>
    <w:rsid w:val="00D907AF"/>
    <w:rsid w:val="00D92D25"/>
    <w:rsid w:val="00D97498"/>
    <w:rsid w:val="00DA33FF"/>
    <w:rsid w:val="00DC2063"/>
    <w:rsid w:val="00DC245F"/>
    <w:rsid w:val="00DD13FE"/>
    <w:rsid w:val="00DD28DA"/>
    <w:rsid w:val="00E003A1"/>
    <w:rsid w:val="00E47CD4"/>
    <w:rsid w:val="00E50FE9"/>
    <w:rsid w:val="00E53AF8"/>
    <w:rsid w:val="00E550EE"/>
    <w:rsid w:val="00E56D79"/>
    <w:rsid w:val="00E835D7"/>
    <w:rsid w:val="00E9302E"/>
    <w:rsid w:val="00E97B0B"/>
    <w:rsid w:val="00E97FB2"/>
    <w:rsid w:val="00EA5D11"/>
    <w:rsid w:val="00EA725A"/>
    <w:rsid w:val="00EC50D3"/>
    <w:rsid w:val="00ED13F4"/>
    <w:rsid w:val="00EE4D1C"/>
    <w:rsid w:val="00EF10FD"/>
    <w:rsid w:val="00F124AC"/>
    <w:rsid w:val="00F22EBD"/>
    <w:rsid w:val="00F31F12"/>
    <w:rsid w:val="00F359C9"/>
    <w:rsid w:val="00F67BA9"/>
    <w:rsid w:val="00F7676B"/>
    <w:rsid w:val="00F97411"/>
    <w:rsid w:val="00FA3EC4"/>
    <w:rsid w:val="00FA53FD"/>
    <w:rsid w:val="00FB7CB7"/>
    <w:rsid w:val="00FD47FF"/>
    <w:rsid w:val="00FD625E"/>
    <w:rsid w:val="00FE1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C77C1B-D2AD-4A07-AB15-02C7AA6A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A"/>
    <w:pPr>
      <w:jc w:val="both"/>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59C9"/>
    <w:pPr>
      <w:tabs>
        <w:tab w:val="center" w:pos="4419"/>
        <w:tab w:val="right" w:pos="8838"/>
      </w:tabs>
    </w:pPr>
  </w:style>
  <w:style w:type="character" w:customStyle="1" w:styleId="EncabezadoCar">
    <w:name w:val="Encabezado Car"/>
    <w:basedOn w:val="Fuentedeprrafopredeter"/>
    <w:link w:val="Encabezado"/>
    <w:uiPriority w:val="99"/>
    <w:rsid w:val="00F359C9"/>
  </w:style>
  <w:style w:type="paragraph" w:styleId="Piedepgina">
    <w:name w:val="footer"/>
    <w:basedOn w:val="Normal"/>
    <w:link w:val="PiedepginaCar"/>
    <w:uiPriority w:val="99"/>
    <w:unhideWhenUsed/>
    <w:rsid w:val="00F359C9"/>
    <w:pPr>
      <w:tabs>
        <w:tab w:val="center" w:pos="4419"/>
        <w:tab w:val="right" w:pos="8838"/>
      </w:tabs>
    </w:pPr>
  </w:style>
  <w:style w:type="character" w:customStyle="1" w:styleId="PiedepginaCar">
    <w:name w:val="Pie de página Car"/>
    <w:basedOn w:val="Fuentedeprrafopredeter"/>
    <w:link w:val="Piedepgina"/>
    <w:uiPriority w:val="99"/>
    <w:rsid w:val="00F359C9"/>
  </w:style>
  <w:style w:type="paragraph" w:styleId="Textodeglobo">
    <w:name w:val="Balloon Text"/>
    <w:basedOn w:val="Normal"/>
    <w:link w:val="TextodegloboCar"/>
    <w:uiPriority w:val="99"/>
    <w:semiHidden/>
    <w:unhideWhenUsed/>
    <w:rsid w:val="00F359C9"/>
    <w:rPr>
      <w:rFonts w:ascii="Tahoma" w:hAnsi="Tahoma"/>
      <w:sz w:val="16"/>
      <w:szCs w:val="16"/>
    </w:rPr>
  </w:style>
  <w:style w:type="character" w:customStyle="1" w:styleId="TextodegloboCar">
    <w:name w:val="Texto de globo Car"/>
    <w:link w:val="Textodeglobo"/>
    <w:uiPriority w:val="99"/>
    <w:semiHidden/>
    <w:rsid w:val="00F359C9"/>
    <w:rPr>
      <w:rFonts w:ascii="Tahoma" w:hAnsi="Tahoma" w:cs="Tahoma"/>
      <w:sz w:val="16"/>
      <w:szCs w:val="16"/>
    </w:rPr>
  </w:style>
  <w:style w:type="character" w:styleId="Hipervnculo">
    <w:name w:val="Hyperlink"/>
    <w:unhideWhenUsed/>
    <w:rsid w:val="00F359C9"/>
    <w:rPr>
      <w:color w:val="0000FF"/>
      <w:u w:val="single"/>
    </w:rPr>
  </w:style>
  <w:style w:type="table" w:styleId="Tablaconcuadrcula">
    <w:name w:val="Table Grid"/>
    <w:basedOn w:val="Tablanormal"/>
    <w:uiPriority w:val="59"/>
    <w:rsid w:val="0026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250"/>
    <w:pPr>
      <w:ind w:left="708"/>
    </w:pPr>
  </w:style>
  <w:style w:type="paragraph" w:customStyle="1" w:styleId="texto">
    <w:name w:val="texto"/>
    <w:basedOn w:val="Normal"/>
    <w:rsid w:val="003D2D2E"/>
    <w:pPr>
      <w:spacing w:after="101" w:line="216" w:lineRule="atLeast"/>
      <w:ind w:firstLine="288"/>
    </w:pPr>
    <w:rPr>
      <w:rFonts w:ascii="Helv" w:eastAsia="Times New Roman" w:hAnsi="Helv"/>
      <w:sz w:val="18"/>
      <w:szCs w:val="20"/>
      <w:lang w:val="es-ES_tradnl" w:eastAsia="es-ES"/>
    </w:rPr>
  </w:style>
  <w:style w:type="paragraph" w:customStyle="1" w:styleId="Texto0">
    <w:name w:val="Texto"/>
    <w:basedOn w:val="Normal"/>
    <w:link w:val="TextoCar"/>
    <w:rsid w:val="002147BA"/>
    <w:pPr>
      <w:spacing w:after="101" w:line="216" w:lineRule="exact"/>
      <w:ind w:firstLine="288"/>
    </w:pPr>
    <w:rPr>
      <w:rFonts w:ascii="Arial" w:eastAsia="Times New Roman" w:hAnsi="Arial"/>
      <w:sz w:val="18"/>
      <w:szCs w:val="20"/>
      <w:lang w:val="es-ES" w:eastAsia="es-ES"/>
    </w:rPr>
  </w:style>
  <w:style w:type="character" w:customStyle="1" w:styleId="TextoCar">
    <w:name w:val="Texto Car"/>
    <w:link w:val="Texto0"/>
    <w:locked/>
    <w:rsid w:val="002147BA"/>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5557">
      <w:bodyDiv w:val="1"/>
      <w:marLeft w:val="0"/>
      <w:marRight w:val="0"/>
      <w:marTop w:val="0"/>
      <w:marBottom w:val="0"/>
      <w:divBdr>
        <w:top w:val="none" w:sz="0" w:space="0" w:color="auto"/>
        <w:left w:val="none" w:sz="0" w:space="0" w:color="auto"/>
        <w:bottom w:val="none" w:sz="0" w:space="0" w:color="auto"/>
        <w:right w:val="none" w:sz="0" w:space="0" w:color="auto"/>
      </w:divBdr>
    </w:div>
    <w:div w:id="20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523E6-4139-4419-A1CD-6F470657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6277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MCONTRERAS</dc:creator>
  <cp:lastModifiedBy>Arcelid Herrera García</cp:lastModifiedBy>
  <cp:revision>2</cp:revision>
  <cp:lastPrinted>2014-02-05T18:39:00Z</cp:lastPrinted>
  <dcterms:created xsi:type="dcterms:W3CDTF">2018-01-10T21:04:00Z</dcterms:created>
  <dcterms:modified xsi:type="dcterms:W3CDTF">2018-01-10T21:04:00Z</dcterms:modified>
</cp:coreProperties>
</file>