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080"/>
      </w:tblGrid>
      <w:tr w:rsidR="000716B4" w:rsidRPr="00642BED" w:rsidTr="00E550EE">
        <w:tc>
          <w:tcPr>
            <w:tcW w:w="5211" w:type="dxa"/>
            <w:tcBorders>
              <w:left w:val="single" w:sz="4" w:space="0" w:color="auto"/>
            </w:tcBorders>
            <w:shd w:val="clear" w:color="auto" w:fill="92D050"/>
          </w:tcPr>
          <w:p w:rsidR="000716B4" w:rsidRPr="00642BED" w:rsidRDefault="000716B4" w:rsidP="006E6122">
            <w:pPr>
              <w:tabs>
                <w:tab w:val="center" w:pos="4419"/>
                <w:tab w:val="right" w:pos="8838"/>
              </w:tabs>
              <w:jc w:val="center"/>
              <w:rPr>
                <w:rFonts w:ascii="Arial" w:hAnsi="Arial" w:cs="Arial"/>
                <w:b/>
                <w:sz w:val="22"/>
                <w:szCs w:val="22"/>
              </w:rPr>
            </w:pPr>
            <w:bookmarkStart w:id="0" w:name="_GoBack"/>
            <w:bookmarkEnd w:id="0"/>
            <w:r w:rsidRPr="00642BED">
              <w:rPr>
                <w:rFonts w:ascii="Arial" w:hAnsi="Arial" w:cs="Arial"/>
                <w:b/>
                <w:sz w:val="22"/>
                <w:szCs w:val="22"/>
              </w:rPr>
              <w:t>Concepto</w:t>
            </w:r>
          </w:p>
        </w:tc>
        <w:tc>
          <w:tcPr>
            <w:tcW w:w="8080" w:type="dxa"/>
            <w:shd w:val="clear" w:color="auto" w:fill="92D050"/>
          </w:tcPr>
          <w:p w:rsidR="000716B4" w:rsidRPr="00642BED" w:rsidRDefault="000716B4" w:rsidP="006E6122">
            <w:pPr>
              <w:tabs>
                <w:tab w:val="center" w:pos="4419"/>
                <w:tab w:val="right" w:pos="8838"/>
              </w:tabs>
              <w:jc w:val="center"/>
              <w:rPr>
                <w:rFonts w:ascii="Arial" w:hAnsi="Arial" w:cs="Arial"/>
                <w:b/>
                <w:sz w:val="22"/>
                <w:szCs w:val="22"/>
              </w:rPr>
            </w:pPr>
            <w:r w:rsidRPr="00642BED">
              <w:rPr>
                <w:rFonts w:ascii="Arial" w:hAnsi="Arial" w:cs="Arial"/>
                <w:b/>
                <w:sz w:val="22"/>
                <w:szCs w:val="22"/>
              </w:rPr>
              <w:t>Dónde:</w:t>
            </w:r>
          </w:p>
        </w:tc>
      </w:tr>
      <w:tr w:rsidR="000716B4" w:rsidRPr="00642BED" w:rsidTr="00E550EE">
        <w:tc>
          <w:tcPr>
            <w:tcW w:w="5211" w:type="dxa"/>
          </w:tcPr>
          <w:p w:rsidR="000716B4" w:rsidRPr="00642BED" w:rsidRDefault="000716B4" w:rsidP="00E550EE">
            <w:pPr>
              <w:tabs>
                <w:tab w:val="center" w:pos="4419"/>
                <w:tab w:val="right" w:pos="8838"/>
              </w:tabs>
              <w:jc w:val="center"/>
              <w:rPr>
                <w:rFonts w:ascii="Arial" w:hAnsi="Arial" w:cs="Arial"/>
                <w:sz w:val="22"/>
                <w:szCs w:val="22"/>
              </w:rPr>
            </w:pPr>
            <w:r w:rsidRPr="00642BED">
              <w:rPr>
                <w:rFonts w:ascii="Arial" w:hAnsi="Arial" w:cs="Arial"/>
                <w:sz w:val="22"/>
                <w:szCs w:val="22"/>
              </w:rPr>
              <w:t xml:space="preserve">El área que generó, obtuvo, adquirió, transformó y/o conserve la información </w:t>
            </w:r>
          </w:p>
        </w:tc>
        <w:tc>
          <w:tcPr>
            <w:tcW w:w="8080" w:type="dxa"/>
          </w:tcPr>
          <w:p w:rsidR="00FD22F5" w:rsidRPr="00642BED" w:rsidRDefault="00FD22F5" w:rsidP="002B53DF">
            <w:pPr>
              <w:rPr>
                <w:rFonts w:ascii="Arial" w:hAnsi="Arial" w:cs="Arial"/>
                <w:sz w:val="22"/>
                <w:szCs w:val="22"/>
              </w:rPr>
            </w:pPr>
          </w:p>
          <w:p w:rsidR="000716B4" w:rsidRPr="00642BED" w:rsidRDefault="00FD22F5" w:rsidP="002B53DF">
            <w:pPr>
              <w:rPr>
                <w:rFonts w:ascii="Arial" w:hAnsi="Arial" w:cs="Arial"/>
                <w:sz w:val="22"/>
                <w:szCs w:val="22"/>
              </w:rPr>
            </w:pPr>
            <w:r w:rsidRPr="00642BED">
              <w:rPr>
                <w:rFonts w:ascii="Arial" w:hAnsi="Arial" w:cs="Arial"/>
                <w:sz w:val="22"/>
                <w:szCs w:val="22"/>
              </w:rPr>
              <w:t xml:space="preserve">Dirección General de Asuntos Jurídicos   </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El nombre del documento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tcPr>
          <w:p w:rsidR="002B53DF" w:rsidRPr="00642BED" w:rsidRDefault="00FD22F5" w:rsidP="002B53DF">
            <w:pPr>
              <w:rPr>
                <w:rFonts w:ascii="Arial" w:hAnsi="Arial" w:cs="Arial"/>
                <w:sz w:val="22"/>
                <w:szCs w:val="22"/>
              </w:rPr>
            </w:pPr>
            <w:r w:rsidRPr="00642BED">
              <w:rPr>
                <w:rFonts w:ascii="Arial" w:hAnsi="Arial" w:cs="Arial"/>
                <w:sz w:val="22"/>
                <w:szCs w:val="22"/>
              </w:rPr>
              <w:t xml:space="preserve">Expediente derivado del Procedimiento de Fiscalización Superior en la Segunda Fase de Determinación de Responsabilidades y </w:t>
            </w:r>
            <w:proofErr w:type="spellStart"/>
            <w:r w:rsidRPr="00642BED">
              <w:rPr>
                <w:rFonts w:ascii="Arial" w:hAnsi="Arial" w:cs="Arial"/>
                <w:sz w:val="22"/>
                <w:szCs w:val="22"/>
              </w:rPr>
              <w:t>Fincamiento</w:t>
            </w:r>
            <w:proofErr w:type="spellEnd"/>
            <w:r w:rsidRPr="00642BED">
              <w:rPr>
                <w:rFonts w:ascii="Arial" w:hAnsi="Arial" w:cs="Arial"/>
                <w:sz w:val="22"/>
                <w:szCs w:val="22"/>
              </w:rPr>
              <w:t xml:space="preserve"> de Indemnizaciones y Sanciones correspondientes a la Cuenta Pública 2015 de la Secretaría de Desarrollo Social.    </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Fracción del numeral séptimo de los presentes lineamientos que da origen a la reserva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tcPr>
          <w:p w:rsidR="002B53DF" w:rsidRPr="00642BED" w:rsidRDefault="002B53DF" w:rsidP="002B53DF">
            <w:pPr>
              <w:pStyle w:val="Texto0"/>
              <w:spacing w:line="230" w:lineRule="exact"/>
              <w:ind w:firstLine="0"/>
              <w:rPr>
                <w:rFonts w:eastAsia="Calibri" w:cs="Arial"/>
                <w:b/>
                <w:sz w:val="22"/>
                <w:szCs w:val="22"/>
                <w:lang w:val="es-MX" w:eastAsia="en-US"/>
              </w:rPr>
            </w:pPr>
            <w:r w:rsidRPr="00642BED">
              <w:rPr>
                <w:rFonts w:eastAsia="Calibri" w:cs="Arial"/>
                <w:b/>
                <w:sz w:val="22"/>
                <w:szCs w:val="22"/>
                <w:lang w:val="es-MX" w:eastAsia="en-US"/>
              </w:rPr>
              <w:t>Lineamientos Generales en materia de Clasificación y Desclasificación de la Información, así como para la Elaboración de Versiones Públicas:</w:t>
            </w:r>
          </w:p>
          <w:p w:rsidR="002B53DF" w:rsidRPr="00642BED" w:rsidRDefault="002B53DF" w:rsidP="002B53DF">
            <w:pPr>
              <w:pStyle w:val="Texto0"/>
              <w:spacing w:line="230" w:lineRule="exact"/>
              <w:ind w:firstLine="0"/>
              <w:rPr>
                <w:rFonts w:cs="Arial"/>
                <w:i/>
                <w:sz w:val="22"/>
                <w:szCs w:val="22"/>
              </w:rPr>
            </w:pPr>
            <w:r w:rsidRPr="00642BED">
              <w:rPr>
                <w:rFonts w:cs="Arial"/>
                <w:i/>
                <w:sz w:val="22"/>
                <w:szCs w:val="22"/>
              </w:rPr>
              <w:t>Vigésimo noveno</w:t>
            </w:r>
            <w:r w:rsidRPr="00642BED">
              <w:rPr>
                <w:rFonts w:cs="Arial"/>
                <w:b/>
                <w:i/>
                <w:sz w:val="22"/>
                <w:szCs w:val="22"/>
              </w:rPr>
              <w:t>.</w:t>
            </w:r>
            <w:r w:rsidRPr="00642BED">
              <w:rPr>
                <w:rFonts w:cs="Arial"/>
                <w:i/>
                <w:sz w:val="22"/>
                <w:szCs w:val="22"/>
              </w:rPr>
              <w:t xml:space="preserve"> De conformidad con el artículo 113, fracción X de la Ley General, podrá considerarse como información reservada, aquella que de divulgarse afecte el debido proceso al actualizarse los siguientes elementos: </w:t>
            </w:r>
          </w:p>
          <w:p w:rsidR="002B53DF" w:rsidRPr="00642BED" w:rsidRDefault="002B53DF" w:rsidP="002B53DF">
            <w:pPr>
              <w:pStyle w:val="Texto0"/>
              <w:spacing w:line="230" w:lineRule="exact"/>
              <w:ind w:left="708" w:firstLine="0"/>
              <w:rPr>
                <w:rFonts w:cs="Arial"/>
                <w:i/>
                <w:sz w:val="22"/>
                <w:szCs w:val="22"/>
              </w:rPr>
            </w:pPr>
            <w:r w:rsidRPr="00642BED">
              <w:rPr>
                <w:rFonts w:cs="Arial"/>
                <w:i/>
                <w:sz w:val="22"/>
                <w:szCs w:val="22"/>
              </w:rPr>
              <w:t xml:space="preserve">I. La existencia de un procedimiento judicial, administrativo o arbitral en trámite; </w:t>
            </w:r>
          </w:p>
          <w:p w:rsidR="002B53DF" w:rsidRPr="00642BED" w:rsidRDefault="002B53DF" w:rsidP="002B53DF">
            <w:pPr>
              <w:pStyle w:val="Texto0"/>
              <w:spacing w:line="230" w:lineRule="exact"/>
              <w:ind w:left="708" w:firstLine="0"/>
              <w:rPr>
                <w:rFonts w:cs="Arial"/>
                <w:i/>
                <w:sz w:val="22"/>
                <w:szCs w:val="22"/>
              </w:rPr>
            </w:pPr>
            <w:r w:rsidRPr="00642BED">
              <w:rPr>
                <w:rFonts w:cs="Arial"/>
                <w:i/>
                <w:sz w:val="22"/>
                <w:szCs w:val="22"/>
              </w:rPr>
              <w:t xml:space="preserve">II. Que el sujeto obligado sea parte en ese procedimiento; </w:t>
            </w:r>
          </w:p>
          <w:p w:rsidR="006C5F52" w:rsidRPr="00642BED" w:rsidRDefault="002B53DF" w:rsidP="006C5F52">
            <w:pPr>
              <w:pStyle w:val="Texto0"/>
              <w:spacing w:line="230" w:lineRule="exact"/>
              <w:ind w:left="708" w:firstLine="0"/>
              <w:rPr>
                <w:rFonts w:cs="Arial"/>
                <w:i/>
                <w:sz w:val="22"/>
                <w:szCs w:val="22"/>
              </w:rPr>
            </w:pPr>
            <w:r w:rsidRPr="00642BED">
              <w:rPr>
                <w:rFonts w:cs="Arial"/>
                <w:i/>
                <w:sz w:val="22"/>
                <w:szCs w:val="22"/>
              </w:rPr>
              <w:t>III. Que la información no sea conocida por la contraparte antes de la presentación de la misma en el proceso, y</w:t>
            </w:r>
            <w:r w:rsidR="006C5F52" w:rsidRPr="00642BED">
              <w:rPr>
                <w:rFonts w:cs="Arial"/>
                <w:i/>
                <w:sz w:val="22"/>
                <w:szCs w:val="22"/>
              </w:rPr>
              <w:t xml:space="preserve"> </w:t>
            </w:r>
          </w:p>
          <w:p w:rsidR="002B53DF" w:rsidRPr="00642BED" w:rsidRDefault="002B53DF" w:rsidP="006C5F52">
            <w:pPr>
              <w:pStyle w:val="Texto0"/>
              <w:spacing w:line="230" w:lineRule="exact"/>
              <w:ind w:left="708" w:firstLine="0"/>
              <w:rPr>
                <w:rFonts w:cs="Arial"/>
                <w:i/>
                <w:sz w:val="22"/>
                <w:szCs w:val="22"/>
              </w:rPr>
            </w:pPr>
            <w:r w:rsidRPr="00642BED">
              <w:rPr>
                <w:rFonts w:cs="Arial"/>
                <w:i/>
                <w:sz w:val="22"/>
                <w:szCs w:val="22"/>
              </w:rPr>
              <w:t xml:space="preserve">IV. Que con su divulgación se afecte la oportunidad de llevar a cabo </w:t>
            </w:r>
            <w:proofErr w:type="gramStart"/>
            <w:r w:rsidRPr="00642BED">
              <w:rPr>
                <w:rFonts w:cs="Arial"/>
                <w:i/>
                <w:sz w:val="22"/>
                <w:szCs w:val="22"/>
              </w:rPr>
              <w:t>alguna</w:t>
            </w:r>
            <w:proofErr w:type="gramEnd"/>
            <w:r w:rsidRPr="00642BED">
              <w:rPr>
                <w:rFonts w:cs="Arial"/>
                <w:i/>
                <w:sz w:val="22"/>
                <w:szCs w:val="22"/>
              </w:rPr>
              <w:t xml:space="preserve"> de las garantías del debido proceso.</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2B53DF">
            <w:pPr>
              <w:tabs>
                <w:tab w:val="center" w:pos="4419"/>
                <w:tab w:val="right" w:pos="8838"/>
              </w:tabs>
              <w:jc w:val="center"/>
              <w:rPr>
                <w:rFonts w:ascii="Arial" w:hAnsi="Arial" w:cs="Arial"/>
                <w:sz w:val="22"/>
                <w:szCs w:val="22"/>
              </w:rPr>
            </w:pPr>
            <w:r w:rsidRPr="00642BED">
              <w:rPr>
                <w:rFonts w:ascii="Arial" w:hAnsi="Arial" w:cs="Arial"/>
                <w:sz w:val="22"/>
                <w:szCs w:val="22"/>
              </w:rPr>
              <w:t>La fecha de clasificación</w:t>
            </w:r>
          </w:p>
        </w:tc>
        <w:tc>
          <w:tcPr>
            <w:tcW w:w="8080" w:type="dxa"/>
          </w:tcPr>
          <w:p w:rsidR="002B53DF" w:rsidRPr="00642BED" w:rsidRDefault="002B53DF" w:rsidP="006E6122">
            <w:pPr>
              <w:tabs>
                <w:tab w:val="center" w:pos="4419"/>
                <w:tab w:val="right" w:pos="8838"/>
              </w:tabs>
              <w:rPr>
                <w:rFonts w:ascii="Arial" w:hAnsi="Arial" w:cs="Arial"/>
                <w:sz w:val="22"/>
                <w:szCs w:val="22"/>
              </w:rPr>
            </w:pPr>
          </w:p>
          <w:p w:rsidR="002B53DF" w:rsidRPr="00642BED" w:rsidRDefault="00FD22F5" w:rsidP="00FD22F5">
            <w:pPr>
              <w:tabs>
                <w:tab w:val="center" w:pos="4419"/>
                <w:tab w:val="right" w:pos="8838"/>
              </w:tabs>
              <w:rPr>
                <w:rFonts w:ascii="Arial" w:hAnsi="Arial" w:cs="Arial"/>
                <w:sz w:val="22"/>
                <w:szCs w:val="22"/>
              </w:rPr>
            </w:pPr>
            <w:r w:rsidRPr="00642BED">
              <w:rPr>
                <w:rFonts w:ascii="Arial" w:hAnsi="Arial" w:cs="Arial"/>
                <w:sz w:val="22"/>
                <w:szCs w:val="22"/>
              </w:rPr>
              <w:t>12</w:t>
            </w:r>
            <w:r w:rsidR="002B53DF" w:rsidRPr="00642BED">
              <w:rPr>
                <w:rFonts w:ascii="Arial" w:hAnsi="Arial" w:cs="Arial"/>
                <w:sz w:val="22"/>
                <w:szCs w:val="22"/>
              </w:rPr>
              <w:t xml:space="preserve"> de </w:t>
            </w:r>
            <w:r w:rsidR="00BE1D8C" w:rsidRPr="00642BED">
              <w:rPr>
                <w:rFonts w:ascii="Arial" w:hAnsi="Arial" w:cs="Arial"/>
                <w:sz w:val="22"/>
                <w:szCs w:val="22"/>
              </w:rPr>
              <w:t>septiembre</w:t>
            </w:r>
            <w:r w:rsidR="002B53DF" w:rsidRPr="00642BED">
              <w:rPr>
                <w:rFonts w:ascii="Arial" w:hAnsi="Arial" w:cs="Arial"/>
                <w:sz w:val="22"/>
                <w:szCs w:val="22"/>
              </w:rPr>
              <w:t xml:space="preserve"> de 2017</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El fundamento legal de la clasificación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tcPr>
          <w:p w:rsidR="00642BED" w:rsidRPr="00642BED" w:rsidRDefault="00642BED" w:rsidP="00642BED">
            <w:pPr>
              <w:rPr>
                <w:rFonts w:ascii="Arial" w:hAnsi="Arial" w:cs="Arial"/>
                <w:sz w:val="22"/>
                <w:szCs w:val="22"/>
              </w:rPr>
            </w:pPr>
            <w:r w:rsidRPr="00642BED">
              <w:rPr>
                <w:rFonts w:ascii="Arial" w:hAnsi="Arial" w:cs="Arial"/>
                <w:b/>
                <w:sz w:val="22"/>
                <w:szCs w:val="22"/>
              </w:rPr>
              <w:t xml:space="preserve">Artículo 113 fracciones VII, IX, X, XI y XII </w:t>
            </w:r>
            <w:r w:rsidRPr="00642BED">
              <w:rPr>
                <w:rFonts w:ascii="Arial" w:hAnsi="Arial" w:cs="Arial"/>
                <w:sz w:val="22"/>
                <w:szCs w:val="22"/>
              </w:rPr>
              <w:t>de la Ley General de Transparencia y Acceso a la Información Pública.</w:t>
            </w:r>
          </w:p>
          <w:p w:rsidR="00642BED" w:rsidRPr="00642BED" w:rsidRDefault="00642BED" w:rsidP="00642BED">
            <w:pPr>
              <w:rPr>
                <w:rFonts w:ascii="Arial" w:hAnsi="Arial" w:cs="Arial"/>
                <w:b/>
                <w:sz w:val="22"/>
                <w:szCs w:val="22"/>
              </w:rPr>
            </w:pPr>
            <w:r w:rsidRPr="00642BED">
              <w:rPr>
                <w:rFonts w:ascii="Arial" w:hAnsi="Arial" w:cs="Arial"/>
                <w:b/>
                <w:sz w:val="22"/>
                <w:szCs w:val="22"/>
              </w:rPr>
              <w:t>Artículo 68 Fracciones V, VI, VII y VIII</w:t>
            </w:r>
            <w:r w:rsidRPr="00642BED">
              <w:rPr>
                <w:rFonts w:ascii="Arial" w:hAnsi="Arial" w:cs="Arial"/>
                <w:sz w:val="22"/>
                <w:szCs w:val="22"/>
              </w:rPr>
              <w:t xml:space="preserve"> de la Ley Número 875 de Transparencia y Acceso a la Información Pública para el Estado de Veracruz de Ignacio de la Llave. </w:t>
            </w:r>
          </w:p>
          <w:p w:rsidR="00642BED" w:rsidRPr="00642BED" w:rsidRDefault="00642BED" w:rsidP="00642BED">
            <w:pPr>
              <w:pStyle w:val="Texto0"/>
              <w:spacing w:after="0" w:line="240" w:lineRule="auto"/>
              <w:ind w:firstLine="0"/>
              <w:rPr>
                <w:rFonts w:eastAsia="Calibri" w:cs="Arial"/>
                <w:b/>
                <w:sz w:val="22"/>
                <w:szCs w:val="22"/>
                <w:lang w:val="es-MX" w:eastAsia="en-US"/>
              </w:rPr>
            </w:pPr>
            <w:r w:rsidRPr="00642BED">
              <w:rPr>
                <w:rFonts w:eastAsia="Calibri" w:cs="Arial"/>
                <w:b/>
                <w:sz w:val="22"/>
                <w:szCs w:val="22"/>
                <w:lang w:val="es-MX" w:eastAsia="en-US"/>
              </w:rPr>
              <w:t>Lineamientos Generales en materia de Clasificación y Desclasificación de la Información, así como para la Elaboración de Versiones Públicas:</w:t>
            </w:r>
          </w:p>
          <w:p w:rsidR="00642BED" w:rsidRPr="00642BED" w:rsidRDefault="00642BED" w:rsidP="00642BED">
            <w:pPr>
              <w:rPr>
                <w:rFonts w:ascii="Arial" w:hAnsi="Arial" w:cs="Arial"/>
                <w:sz w:val="22"/>
                <w:szCs w:val="22"/>
              </w:rPr>
            </w:pPr>
            <w:r w:rsidRPr="00642BED">
              <w:rPr>
                <w:rFonts w:ascii="Arial" w:hAnsi="Arial" w:cs="Arial"/>
                <w:b/>
                <w:sz w:val="22"/>
                <w:szCs w:val="22"/>
              </w:rPr>
              <w:t>Vigésimo sexto.</w:t>
            </w:r>
            <w:r w:rsidRPr="00642BED">
              <w:rPr>
                <w:rFonts w:ascii="Arial" w:hAnsi="Arial" w:cs="Arial"/>
                <w:sz w:val="22"/>
                <w:szCs w:val="22"/>
              </w:rPr>
              <w:t xml:space="preserve">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 Para que se verifique el supuesto de reserva, cuando se cause un perjuicio a las actividades de persecución de los delitos, deben de actualizarse los siguientes elementos: </w:t>
            </w:r>
          </w:p>
          <w:p w:rsidR="00642BED" w:rsidRPr="00642BED" w:rsidRDefault="00642BED" w:rsidP="00642BED">
            <w:pPr>
              <w:numPr>
                <w:ilvl w:val="0"/>
                <w:numId w:val="12"/>
              </w:numPr>
              <w:rPr>
                <w:rFonts w:ascii="Arial" w:hAnsi="Arial" w:cs="Arial"/>
                <w:sz w:val="22"/>
                <w:szCs w:val="22"/>
              </w:rPr>
            </w:pPr>
            <w:r w:rsidRPr="00642BED">
              <w:rPr>
                <w:rFonts w:ascii="Arial" w:hAnsi="Arial" w:cs="Arial"/>
                <w:sz w:val="22"/>
                <w:szCs w:val="22"/>
              </w:rPr>
              <w:t xml:space="preserve">La existencia de un proceso penal en sustanciación o una </w:t>
            </w:r>
            <w:r w:rsidRPr="00642BED">
              <w:rPr>
                <w:rFonts w:ascii="Arial" w:hAnsi="Arial" w:cs="Arial"/>
                <w:sz w:val="22"/>
                <w:szCs w:val="22"/>
              </w:rPr>
              <w:lastRenderedPageBreak/>
              <w:t xml:space="preserve">carpeta de investigación en trámite; </w:t>
            </w:r>
          </w:p>
          <w:p w:rsidR="00642BED" w:rsidRPr="00642BED" w:rsidRDefault="00642BED" w:rsidP="00642BED">
            <w:pPr>
              <w:numPr>
                <w:ilvl w:val="0"/>
                <w:numId w:val="12"/>
              </w:numPr>
              <w:rPr>
                <w:rFonts w:ascii="Arial" w:hAnsi="Arial" w:cs="Arial"/>
                <w:sz w:val="22"/>
                <w:szCs w:val="22"/>
              </w:rPr>
            </w:pPr>
            <w:r w:rsidRPr="00642BED">
              <w:rPr>
                <w:rFonts w:ascii="Arial" w:hAnsi="Arial" w:cs="Arial"/>
                <w:sz w:val="22"/>
                <w:szCs w:val="22"/>
              </w:rPr>
              <w:t>Que se acredite el vínculo que existe entre la información solicitada y la carpeta de investigación, o el proceso penal, según sea el caso, y</w:t>
            </w:r>
          </w:p>
          <w:p w:rsidR="00642BED" w:rsidRPr="00642BED" w:rsidRDefault="00642BED" w:rsidP="00642BED">
            <w:pPr>
              <w:numPr>
                <w:ilvl w:val="0"/>
                <w:numId w:val="12"/>
              </w:numPr>
              <w:rPr>
                <w:rFonts w:ascii="Arial" w:hAnsi="Arial" w:cs="Arial"/>
                <w:sz w:val="22"/>
                <w:szCs w:val="22"/>
              </w:rPr>
            </w:pPr>
            <w:r w:rsidRPr="00642BED">
              <w:rPr>
                <w:rFonts w:ascii="Arial" w:hAnsi="Arial" w:cs="Arial"/>
                <w:sz w:val="22"/>
                <w:szCs w:val="22"/>
              </w:rPr>
              <w:t xml:space="preserve">III. Que la difusión de la información pueda impedir u obstruir las funciones que ejerce el Ministerio Público o su equivalente durante la etapa de investigación o ante los tribunales judiciales con motivo del ejercicio de la acción penal. </w:t>
            </w:r>
          </w:p>
          <w:p w:rsidR="00642BED" w:rsidRPr="00642BED" w:rsidRDefault="00642BED" w:rsidP="00642BED">
            <w:pPr>
              <w:rPr>
                <w:rFonts w:ascii="Arial" w:hAnsi="Arial" w:cs="Arial"/>
                <w:sz w:val="22"/>
                <w:szCs w:val="22"/>
              </w:rPr>
            </w:pPr>
            <w:r w:rsidRPr="00642BED">
              <w:rPr>
                <w:rFonts w:ascii="Arial" w:hAnsi="Arial" w:cs="Arial"/>
                <w:b/>
                <w:sz w:val="22"/>
                <w:szCs w:val="22"/>
              </w:rPr>
              <w:t>Vigésimo octavo</w:t>
            </w:r>
            <w:r w:rsidRPr="00642BED">
              <w:rPr>
                <w:rFonts w:ascii="Arial" w:hAnsi="Arial" w:cs="Arial"/>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rsidR="00642BED" w:rsidRPr="00642BED" w:rsidRDefault="00642BED" w:rsidP="00642BED">
            <w:pPr>
              <w:numPr>
                <w:ilvl w:val="0"/>
                <w:numId w:val="13"/>
              </w:numPr>
              <w:rPr>
                <w:rFonts w:ascii="Arial" w:hAnsi="Arial" w:cs="Arial"/>
                <w:sz w:val="22"/>
                <w:szCs w:val="22"/>
              </w:rPr>
            </w:pPr>
            <w:r w:rsidRPr="00642BED">
              <w:rPr>
                <w:rFonts w:ascii="Arial" w:hAnsi="Arial" w:cs="Arial"/>
                <w:sz w:val="22"/>
                <w:szCs w:val="22"/>
              </w:rPr>
              <w:t xml:space="preserve">La existencia de un procedimiento de responsabilidad administrativa en trámite, y </w:t>
            </w:r>
          </w:p>
          <w:p w:rsidR="00642BED" w:rsidRPr="00642BED" w:rsidRDefault="00642BED" w:rsidP="00642BED">
            <w:pPr>
              <w:numPr>
                <w:ilvl w:val="0"/>
                <w:numId w:val="13"/>
              </w:numPr>
              <w:rPr>
                <w:rFonts w:ascii="Arial" w:hAnsi="Arial" w:cs="Arial"/>
                <w:sz w:val="22"/>
                <w:szCs w:val="22"/>
              </w:rPr>
            </w:pPr>
            <w:r w:rsidRPr="00642BED">
              <w:rPr>
                <w:rFonts w:ascii="Arial" w:hAnsi="Arial" w:cs="Arial"/>
                <w:sz w:val="22"/>
                <w:szCs w:val="22"/>
              </w:rPr>
              <w:t xml:space="preserve">Que la información se refiera a actuaciones, diligencias y constancias propias del procedimiento de responsabilidad. </w:t>
            </w:r>
          </w:p>
          <w:p w:rsidR="00642BED" w:rsidRPr="00642BED" w:rsidRDefault="00642BED" w:rsidP="00642BED">
            <w:pPr>
              <w:rPr>
                <w:rFonts w:ascii="Arial" w:hAnsi="Arial" w:cs="Arial"/>
                <w:sz w:val="22"/>
                <w:szCs w:val="22"/>
              </w:rPr>
            </w:pPr>
            <w:r w:rsidRPr="00642BED">
              <w:rPr>
                <w:rFonts w:ascii="Arial" w:hAnsi="Arial" w:cs="Arial"/>
                <w:b/>
                <w:sz w:val="22"/>
                <w:szCs w:val="22"/>
              </w:rPr>
              <w:t>Vigésimo noveno.</w:t>
            </w:r>
            <w:r w:rsidRPr="00642BED">
              <w:rPr>
                <w:rFonts w:ascii="Arial" w:hAnsi="Arial" w:cs="Arial"/>
                <w:sz w:val="22"/>
                <w:szCs w:val="22"/>
              </w:rPr>
              <w:t xml:space="preserve"> De conformidad con el artículo 113, fracción X de la Ley General, podrá considerarse como información reservada, aquella que de divulgarse afecte el debido proceso al actualizarse los siguientes elementos: </w:t>
            </w:r>
          </w:p>
          <w:p w:rsidR="00642BED" w:rsidRPr="00642BED" w:rsidRDefault="00642BED" w:rsidP="00642BED">
            <w:pPr>
              <w:numPr>
                <w:ilvl w:val="0"/>
                <w:numId w:val="14"/>
              </w:numPr>
              <w:rPr>
                <w:rFonts w:ascii="Arial" w:hAnsi="Arial" w:cs="Arial"/>
                <w:sz w:val="22"/>
                <w:szCs w:val="22"/>
              </w:rPr>
            </w:pPr>
            <w:r w:rsidRPr="00642BED">
              <w:rPr>
                <w:rFonts w:ascii="Arial" w:hAnsi="Arial" w:cs="Arial"/>
                <w:sz w:val="22"/>
                <w:szCs w:val="22"/>
              </w:rPr>
              <w:t xml:space="preserve">La existencia de un procedimiento judicial, administrativo o arbitral en trámite; </w:t>
            </w:r>
          </w:p>
          <w:p w:rsidR="00642BED" w:rsidRPr="00642BED" w:rsidRDefault="00642BED" w:rsidP="00642BED">
            <w:pPr>
              <w:numPr>
                <w:ilvl w:val="0"/>
                <w:numId w:val="14"/>
              </w:numPr>
              <w:rPr>
                <w:rFonts w:ascii="Arial" w:hAnsi="Arial" w:cs="Arial"/>
                <w:sz w:val="22"/>
                <w:szCs w:val="22"/>
              </w:rPr>
            </w:pPr>
            <w:r w:rsidRPr="00642BED">
              <w:rPr>
                <w:rFonts w:ascii="Arial" w:hAnsi="Arial" w:cs="Arial"/>
                <w:sz w:val="22"/>
                <w:szCs w:val="22"/>
              </w:rPr>
              <w:t xml:space="preserve">Que el sujeto obligado sea parte en ese procedimiento; </w:t>
            </w:r>
          </w:p>
          <w:p w:rsidR="00642BED" w:rsidRPr="00642BED" w:rsidRDefault="00642BED" w:rsidP="00642BED">
            <w:pPr>
              <w:numPr>
                <w:ilvl w:val="0"/>
                <w:numId w:val="14"/>
              </w:numPr>
              <w:rPr>
                <w:rFonts w:ascii="Arial" w:hAnsi="Arial" w:cs="Arial"/>
                <w:sz w:val="22"/>
                <w:szCs w:val="22"/>
              </w:rPr>
            </w:pPr>
            <w:r w:rsidRPr="00642BED">
              <w:rPr>
                <w:rFonts w:ascii="Arial" w:hAnsi="Arial" w:cs="Arial"/>
                <w:sz w:val="22"/>
                <w:szCs w:val="22"/>
              </w:rPr>
              <w:t xml:space="preserve">Que la información no sea conocida por la contraparte antes de la presentación de la misma en el proceso, y </w:t>
            </w:r>
          </w:p>
          <w:p w:rsidR="00642BED" w:rsidRPr="00642BED" w:rsidRDefault="00642BED" w:rsidP="00642BED">
            <w:pPr>
              <w:numPr>
                <w:ilvl w:val="0"/>
                <w:numId w:val="14"/>
              </w:numPr>
              <w:rPr>
                <w:rFonts w:ascii="Arial" w:hAnsi="Arial" w:cs="Arial"/>
                <w:sz w:val="22"/>
                <w:szCs w:val="22"/>
              </w:rPr>
            </w:pPr>
            <w:r w:rsidRPr="00642BED">
              <w:rPr>
                <w:rFonts w:ascii="Arial" w:hAnsi="Arial" w:cs="Arial"/>
                <w:sz w:val="22"/>
                <w:szCs w:val="22"/>
              </w:rPr>
              <w:t xml:space="preserve">Que con su divulgación se afecte la oportunidad de llevar a cabo </w:t>
            </w:r>
            <w:proofErr w:type="gramStart"/>
            <w:r w:rsidRPr="00642BED">
              <w:rPr>
                <w:rFonts w:ascii="Arial" w:hAnsi="Arial" w:cs="Arial"/>
                <w:sz w:val="22"/>
                <w:szCs w:val="22"/>
              </w:rPr>
              <w:t>alguna</w:t>
            </w:r>
            <w:proofErr w:type="gramEnd"/>
            <w:r w:rsidRPr="00642BED">
              <w:rPr>
                <w:rFonts w:ascii="Arial" w:hAnsi="Arial" w:cs="Arial"/>
                <w:sz w:val="22"/>
                <w:szCs w:val="22"/>
              </w:rPr>
              <w:t xml:space="preserve"> de las garantías del debido proceso. </w:t>
            </w:r>
          </w:p>
          <w:p w:rsidR="00642BED" w:rsidRPr="00642BED" w:rsidRDefault="00642BED" w:rsidP="00642BED">
            <w:pPr>
              <w:rPr>
                <w:rFonts w:ascii="Arial" w:hAnsi="Arial" w:cs="Arial"/>
                <w:sz w:val="22"/>
                <w:szCs w:val="22"/>
              </w:rPr>
            </w:pPr>
            <w:r w:rsidRPr="00642BED">
              <w:rPr>
                <w:rFonts w:ascii="Arial" w:hAnsi="Arial" w:cs="Arial"/>
                <w:b/>
                <w:sz w:val="22"/>
                <w:szCs w:val="22"/>
              </w:rPr>
              <w:t>Trigésimo.</w:t>
            </w:r>
            <w:r w:rsidRPr="00642BED">
              <w:rPr>
                <w:rFonts w:ascii="Arial" w:hAnsi="Arial" w:cs="Arial"/>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642BED" w:rsidRPr="00642BED" w:rsidRDefault="00642BED" w:rsidP="00642BED">
            <w:pPr>
              <w:numPr>
                <w:ilvl w:val="0"/>
                <w:numId w:val="15"/>
              </w:numPr>
              <w:rPr>
                <w:rFonts w:ascii="Arial" w:hAnsi="Arial" w:cs="Arial"/>
                <w:sz w:val="22"/>
                <w:szCs w:val="22"/>
              </w:rPr>
            </w:pPr>
            <w:r w:rsidRPr="00642BED">
              <w:rPr>
                <w:rFonts w:ascii="Arial" w:hAnsi="Arial" w:cs="Arial"/>
                <w:sz w:val="22"/>
                <w:szCs w:val="22"/>
              </w:rPr>
              <w:t xml:space="preserve">La existencia de un juicio o procedimiento administrativo materialmente jurisdiccional, que se encuentre en trámite, y </w:t>
            </w:r>
          </w:p>
          <w:p w:rsidR="00642BED" w:rsidRPr="00642BED" w:rsidRDefault="00642BED" w:rsidP="00642BED">
            <w:pPr>
              <w:numPr>
                <w:ilvl w:val="0"/>
                <w:numId w:val="15"/>
              </w:numPr>
              <w:rPr>
                <w:rFonts w:ascii="Arial" w:hAnsi="Arial" w:cs="Arial"/>
                <w:sz w:val="22"/>
                <w:szCs w:val="22"/>
              </w:rPr>
            </w:pPr>
            <w:r w:rsidRPr="00642BED">
              <w:rPr>
                <w:rFonts w:ascii="Arial" w:hAnsi="Arial" w:cs="Arial"/>
                <w:sz w:val="22"/>
                <w:szCs w:val="22"/>
              </w:rPr>
              <w:t xml:space="preserve">Que la información solicitada se refiera a actuaciones, diligencias o constancias propias del procedimiento. </w:t>
            </w:r>
          </w:p>
          <w:p w:rsidR="00642BED" w:rsidRPr="00642BED" w:rsidRDefault="00642BED" w:rsidP="00642BED">
            <w:pPr>
              <w:rPr>
                <w:rFonts w:ascii="Arial" w:hAnsi="Arial" w:cs="Arial"/>
                <w:sz w:val="22"/>
                <w:szCs w:val="22"/>
              </w:rPr>
            </w:pPr>
            <w:r w:rsidRPr="00642BED">
              <w:rPr>
                <w:rFonts w:ascii="Arial" w:hAnsi="Arial" w:cs="Arial"/>
                <w:sz w:val="22"/>
                <w:szCs w:val="22"/>
              </w:rPr>
              <w:t xml:space="preserve">Para los efectos del primer párrafo de este numeral, se considera procedimiento </w:t>
            </w:r>
            <w:r w:rsidRPr="00642BED">
              <w:rPr>
                <w:rFonts w:ascii="Arial" w:hAnsi="Arial" w:cs="Arial"/>
                <w:sz w:val="22"/>
                <w:szCs w:val="22"/>
              </w:rPr>
              <w:lastRenderedPageBreak/>
              <w:t xml:space="preserve">seguido en forma de juicio a aquel formalmente administrativo, pero materialmente jurisdiccional; esto es, en el que concurran los siguientes elementos: </w:t>
            </w:r>
          </w:p>
          <w:p w:rsidR="00642BED" w:rsidRPr="00642BED" w:rsidRDefault="00642BED" w:rsidP="00642BED">
            <w:pPr>
              <w:ind w:left="708"/>
              <w:rPr>
                <w:rFonts w:ascii="Arial" w:hAnsi="Arial" w:cs="Arial"/>
                <w:sz w:val="22"/>
                <w:szCs w:val="22"/>
              </w:rPr>
            </w:pPr>
            <w:r w:rsidRPr="00642BED">
              <w:rPr>
                <w:rFonts w:ascii="Arial" w:hAnsi="Arial" w:cs="Arial"/>
                <w:sz w:val="22"/>
                <w:szCs w:val="22"/>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642BED" w:rsidRPr="00642BED" w:rsidRDefault="00642BED" w:rsidP="00642BED">
            <w:pPr>
              <w:ind w:left="708"/>
              <w:rPr>
                <w:rFonts w:ascii="Arial" w:hAnsi="Arial" w:cs="Arial"/>
                <w:sz w:val="22"/>
                <w:szCs w:val="22"/>
              </w:rPr>
            </w:pPr>
            <w:r w:rsidRPr="00642BED">
              <w:rPr>
                <w:rFonts w:ascii="Arial" w:hAnsi="Arial" w:cs="Arial"/>
                <w:sz w:val="22"/>
                <w:szCs w:val="22"/>
              </w:rPr>
              <w:t xml:space="preserve">2. Que se cumplan las formalidades esenciales del procedimiento. </w:t>
            </w:r>
          </w:p>
          <w:p w:rsidR="00642BED" w:rsidRPr="00642BED" w:rsidRDefault="00642BED" w:rsidP="00642BED">
            <w:pPr>
              <w:rPr>
                <w:rFonts w:ascii="Arial" w:hAnsi="Arial" w:cs="Arial"/>
                <w:sz w:val="22"/>
                <w:szCs w:val="22"/>
              </w:rPr>
            </w:pPr>
            <w:r w:rsidRPr="00642BED">
              <w:rPr>
                <w:rFonts w:ascii="Arial" w:hAnsi="Arial" w:cs="Arial"/>
                <w:sz w:val="22"/>
                <w:szCs w:val="22"/>
              </w:rPr>
              <w:t xml:space="preserve">No serán objeto de reserva las resoluciones interlocutorias o definitivas que se dicten dentro de los procedimientos o con las que se concluya el mismo. En estos casos deberá otorgarse acceso a la resolución en versión pública, testando la información clasificada. </w:t>
            </w:r>
          </w:p>
          <w:p w:rsidR="002B53DF" w:rsidRPr="00642BED" w:rsidRDefault="00642BED" w:rsidP="00642BED">
            <w:pPr>
              <w:rPr>
                <w:rFonts w:ascii="Arial" w:hAnsi="Arial" w:cs="Arial"/>
                <w:sz w:val="22"/>
                <w:szCs w:val="22"/>
              </w:rPr>
            </w:pPr>
            <w:r w:rsidRPr="00642BED">
              <w:rPr>
                <w:rFonts w:ascii="Arial" w:hAnsi="Arial" w:cs="Arial"/>
                <w:b/>
                <w:sz w:val="22"/>
                <w:szCs w:val="22"/>
              </w:rPr>
              <w:t>Trigésimo primero.</w:t>
            </w:r>
            <w:r w:rsidRPr="00642BED">
              <w:rPr>
                <w:rFonts w:ascii="Arial" w:hAnsi="Arial" w:cs="Arial"/>
                <w:sz w:val="22"/>
                <w:szCs w:val="22"/>
              </w:rPr>
              <w:t xml:space="preserve">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p>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Razones y motivos de la clasificación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tcPr>
          <w:p w:rsidR="00D649CD" w:rsidRPr="00642BED" w:rsidRDefault="00D649CD" w:rsidP="00D649CD">
            <w:pPr>
              <w:shd w:val="clear" w:color="auto" w:fill="FFFFFF"/>
              <w:rPr>
                <w:rFonts w:ascii="Arial" w:hAnsi="Arial" w:cs="Arial"/>
                <w:sz w:val="22"/>
                <w:szCs w:val="22"/>
              </w:rPr>
            </w:pPr>
            <w:r w:rsidRPr="00642BED">
              <w:rPr>
                <w:rFonts w:ascii="Arial" w:hAnsi="Arial" w:cs="Arial"/>
                <w:sz w:val="22"/>
                <w:szCs w:val="22"/>
              </w:rPr>
              <w:t xml:space="preserve">La información corresponde al material aportado dentro del Procedimiento para la Determinación de Responsabilidades y </w:t>
            </w:r>
            <w:proofErr w:type="spellStart"/>
            <w:r w:rsidRPr="00642BED">
              <w:rPr>
                <w:rFonts w:ascii="Arial" w:hAnsi="Arial" w:cs="Arial"/>
                <w:sz w:val="22"/>
                <w:szCs w:val="22"/>
              </w:rPr>
              <w:t>Fincamiento</w:t>
            </w:r>
            <w:proofErr w:type="spellEnd"/>
            <w:r w:rsidRPr="00642BED">
              <w:rPr>
                <w:rFonts w:ascii="Arial" w:hAnsi="Arial" w:cs="Arial"/>
                <w:sz w:val="22"/>
                <w:szCs w:val="22"/>
              </w:rPr>
              <w:t xml:space="preserve"> de Indemnizaciones y Sanciones número DRFIS/062/2016, I.R./SEDESOL/2015, instruido a ex servidores públicos de la Secretaría de Desarrollo Social, en el cual a la fecha no se ha dictado la resolución correspondiente, en virtud de haberse tramitado por dichos ex servidores públicos el juicio de amparo número 1272/2016, del índice del Juzgado Segundo de Distrito en el Estado, en el que se les concedió la suspensión para el efecto de que el ORFIS se abstenga de dictar resolución definitiva hasta en tanto no se resuelva el fondo del acto reclamado en el juicio de amparo en mención. Asimismo, la Fiscalía General del Estado se encuentra integrando la Carpeta de Investigación número C.I./FESP/399/2016-VII, emanada de la denuncia formulada por el ORFIS que deriva de los mismos hechos.  </w:t>
            </w:r>
          </w:p>
          <w:p w:rsidR="002B53DF" w:rsidRPr="00642BED" w:rsidRDefault="00D649CD" w:rsidP="00D649CD">
            <w:pPr>
              <w:tabs>
                <w:tab w:val="center" w:pos="4419"/>
                <w:tab w:val="right" w:pos="8838"/>
              </w:tabs>
              <w:rPr>
                <w:rFonts w:ascii="Arial" w:hAnsi="Arial" w:cs="Arial"/>
                <w:sz w:val="22"/>
                <w:szCs w:val="22"/>
              </w:rPr>
            </w:pPr>
            <w:r w:rsidRPr="00642BED">
              <w:rPr>
                <w:rFonts w:ascii="Arial" w:hAnsi="Arial" w:cs="Arial"/>
                <w:sz w:val="22"/>
                <w:szCs w:val="22"/>
              </w:rPr>
              <w:t xml:space="preserve">En razón de lo anterior, el ORFIS se encuentra impedido legalmente para proporcionar la  información requerida, ya que de entregarse incidiría en el procedimiento que se instruye para fincar responsabilidades y se afectarían los derechos del debido proceso; asimismo, se vulneraría la conducción de los </w:t>
            </w:r>
            <w:r w:rsidRPr="00642BED">
              <w:rPr>
                <w:rFonts w:ascii="Arial" w:hAnsi="Arial" w:cs="Arial"/>
                <w:sz w:val="22"/>
                <w:szCs w:val="22"/>
              </w:rPr>
              <w:lastRenderedPageBreak/>
              <w:t>expedientes que se desahogan tanto en el Juzgado Segundo de Distrito en el Estado como  en la Fiscalía General del Estado, lo cual actualiza las hipótesis contenidas en el artículo 113 fracciones VII, IX, X, XI y XII de la Ley General de Transparencia y Acceso a la Información Pública y el artículo 68 fracciones V, VI, VII y VIII, de la Ley número 875 de Transparencia y Acceso a la Información Pública para el Estado de Veracruz de Ignacio de la Llave, para considerar la información que nos ocupa como reservada, hasta en tanto las resoluciones que se dicten en los diversos procedimientos no queden firmes</w:t>
            </w:r>
          </w:p>
          <w:p w:rsidR="00D649CD" w:rsidRPr="00642BED" w:rsidRDefault="00D649CD" w:rsidP="00D649CD">
            <w:pPr>
              <w:tabs>
                <w:tab w:val="center" w:pos="4419"/>
                <w:tab w:val="right" w:pos="8838"/>
              </w:tabs>
              <w:rPr>
                <w:rFonts w:ascii="Arial" w:hAnsi="Arial" w:cs="Arial"/>
                <w:sz w:val="22"/>
                <w:szCs w:val="22"/>
              </w:rPr>
            </w:pPr>
          </w:p>
          <w:p w:rsidR="00D649CD" w:rsidRPr="00642BED" w:rsidRDefault="00D649CD" w:rsidP="00D649CD">
            <w:pPr>
              <w:tabs>
                <w:tab w:val="center" w:pos="4419"/>
                <w:tab w:val="right" w:pos="8838"/>
              </w:tabs>
              <w:rPr>
                <w:rFonts w:ascii="Arial" w:hAnsi="Arial" w:cs="Arial"/>
                <w:b/>
                <w:sz w:val="22"/>
                <w:szCs w:val="22"/>
              </w:rPr>
            </w:pPr>
            <w:r w:rsidRPr="00642BED">
              <w:rPr>
                <w:rFonts w:ascii="Arial" w:hAnsi="Arial" w:cs="Arial"/>
                <w:b/>
                <w:sz w:val="22"/>
                <w:szCs w:val="22"/>
              </w:rPr>
              <w:t>Supuesto del Artículo 70 fracción I</w:t>
            </w:r>
          </w:p>
          <w:p w:rsidR="00D649CD" w:rsidRPr="00642BED" w:rsidRDefault="00D649CD" w:rsidP="00D649CD">
            <w:pPr>
              <w:tabs>
                <w:tab w:val="center" w:pos="4419"/>
                <w:tab w:val="right" w:pos="8838"/>
              </w:tabs>
              <w:rPr>
                <w:rFonts w:ascii="Arial" w:hAnsi="Arial" w:cs="Arial"/>
                <w:sz w:val="22"/>
                <w:szCs w:val="22"/>
              </w:rPr>
            </w:pPr>
            <w:r w:rsidRPr="00642BED">
              <w:rPr>
                <w:rFonts w:ascii="Arial" w:hAnsi="Arial" w:cs="Arial"/>
                <w:sz w:val="22"/>
                <w:szCs w:val="22"/>
              </w:rPr>
              <w:t>De los argumentos expuestos en el renglón que precede se advierte que corresponden legítimamente a la hipótesis contenidas en el artículo 113 fracciones VII, IX, X, XI y XII de la Ley General de Transparencia y Acceso a la Información Pública, así como el artículo 68 fracciones V, VI, VII y VIII de la Ley Número 875 de Transparencia y Acceso a la Información Pública para el Estado de Veracruz de Ignacio de la Llave y numerales vigésimo sexto, vigésimo octavo, vigésimo noveno, trigésimo y trigésimo primero de Lineamientos Generales en materia de Clasificación y Desclasificación de la Información, así como para la Elaboración de Versiones Públicas.</w:t>
            </w:r>
          </w:p>
          <w:p w:rsidR="00D649CD" w:rsidRPr="00642BED" w:rsidRDefault="00D649CD" w:rsidP="00D649CD">
            <w:pPr>
              <w:tabs>
                <w:tab w:val="center" w:pos="4419"/>
                <w:tab w:val="right" w:pos="8838"/>
              </w:tabs>
              <w:rPr>
                <w:rFonts w:ascii="Arial" w:hAnsi="Arial" w:cs="Arial"/>
                <w:sz w:val="22"/>
                <w:szCs w:val="22"/>
              </w:rPr>
            </w:pPr>
          </w:p>
          <w:p w:rsidR="00D649CD" w:rsidRPr="00642BED" w:rsidRDefault="00D649CD" w:rsidP="00D649CD">
            <w:pPr>
              <w:rPr>
                <w:rFonts w:ascii="Arial" w:hAnsi="Arial" w:cs="Arial"/>
                <w:b/>
                <w:sz w:val="22"/>
                <w:szCs w:val="22"/>
              </w:rPr>
            </w:pPr>
            <w:r w:rsidRPr="00642BED">
              <w:rPr>
                <w:rFonts w:ascii="Arial" w:hAnsi="Arial" w:cs="Arial"/>
                <w:b/>
                <w:sz w:val="22"/>
                <w:szCs w:val="22"/>
              </w:rPr>
              <w:t>Supuesto del Artículo 70 fracción II</w:t>
            </w:r>
          </w:p>
          <w:p w:rsidR="00D649CD" w:rsidRPr="00642BED" w:rsidRDefault="00D649CD" w:rsidP="00D649CD">
            <w:pPr>
              <w:tabs>
                <w:tab w:val="center" w:pos="4419"/>
                <w:tab w:val="right" w:pos="8838"/>
              </w:tabs>
              <w:rPr>
                <w:rFonts w:ascii="Arial" w:hAnsi="Arial" w:cs="Arial"/>
                <w:sz w:val="22"/>
                <w:szCs w:val="22"/>
              </w:rPr>
            </w:pPr>
            <w:r w:rsidRPr="00642BED">
              <w:rPr>
                <w:rFonts w:ascii="Arial" w:hAnsi="Arial" w:cs="Arial"/>
                <w:sz w:val="22"/>
                <w:szCs w:val="22"/>
              </w:rPr>
              <w:t xml:space="preserve">El interés protegido es el cumplimiento del procedimiento de fiscalización superior en la Segunda Fase de Determinación de Responsabilidades y </w:t>
            </w:r>
            <w:proofErr w:type="spellStart"/>
            <w:r w:rsidRPr="00642BED">
              <w:rPr>
                <w:rFonts w:ascii="Arial" w:hAnsi="Arial" w:cs="Arial"/>
                <w:sz w:val="22"/>
                <w:szCs w:val="22"/>
              </w:rPr>
              <w:t>Fincamiento</w:t>
            </w:r>
            <w:proofErr w:type="spellEnd"/>
            <w:r w:rsidRPr="00642BED">
              <w:rPr>
                <w:rFonts w:ascii="Arial" w:hAnsi="Arial" w:cs="Arial"/>
                <w:sz w:val="22"/>
                <w:szCs w:val="22"/>
              </w:rPr>
              <w:t xml:space="preserve"> de Indemnizaciones y Sanciones, mismo que se regula en la Ley Número 584 de Fiscalización Superior y Rendición de Cuentas para el Estado de Veracruz de Ignacio de la Llave.  </w:t>
            </w:r>
          </w:p>
          <w:p w:rsidR="00D649CD" w:rsidRPr="00642BED" w:rsidRDefault="00D649CD" w:rsidP="00D649CD">
            <w:pPr>
              <w:tabs>
                <w:tab w:val="center" w:pos="4419"/>
                <w:tab w:val="right" w:pos="8838"/>
              </w:tabs>
              <w:rPr>
                <w:rFonts w:ascii="Arial" w:hAnsi="Arial" w:cs="Arial"/>
                <w:sz w:val="22"/>
                <w:szCs w:val="22"/>
              </w:rPr>
            </w:pPr>
          </w:p>
          <w:p w:rsidR="00D649CD" w:rsidRPr="00642BED" w:rsidRDefault="00D649CD" w:rsidP="00D649CD">
            <w:pPr>
              <w:rPr>
                <w:rFonts w:ascii="Arial" w:hAnsi="Arial" w:cs="Arial"/>
                <w:b/>
                <w:sz w:val="22"/>
                <w:szCs w:val="22"/>
              </w:rPr>
            </w:pPr>
            <w:r w:rsidRPr="00642BED">
              <w:rPr>
                <w:rFonts w:ascii="Arial" w:hAnsi="Arial" w:cs="Arial"/>
                <w:b/>
                <w:sz w:val="22"/>
                <w:szCs w:val="22"/>
              </w:rPr>
              <w:t>Supuesto del Artículo 70 fracción III</w:t>
            </w:r>
          </w:p>
          <w:p w:rsidR="00D649CD" w:rsidRPr="00642BED" w:rsidRDefault="00D649CD" w:rsidP="00D649CD">
            <w:pPr>
              <w:tabs>
                <w:tab w:val="center" w:pos="4419"/>
                <w:tab w:val="right" w:pos="8838"/>
              </w:tabs>
              <w:rPr>
                <w:rFonts w:ascii="Arial" w:hAnsi="Arial" w:cs="Arial"/>
                <w:sz w:val="22"/>
                <w:szCs w:val="22"/>
              </w:rPr>
            </w:pPr>
            <w:r w:rsidRPr="00642BED">
              <w:rPr>
                <w:rFonts w:ascii="Arial" w:hAnsi="Arial" w:cs="Arial"/>
                <w:sz w:val="22"/>
                <w:szCs w:val="22"/>
              </w:rPr>
              <w:t>La entrega total o parcial de la información incidiría en el procedimiento que se instruye para fincar responsabilidades y se afectarían los derechos del debido proceso; asimismo, se vulneraría la conducción de los expedientes que se desahogan tanto en el Juzgado Segundo de Distrito en el Estado como  en la Fiscalía General del Estado, por lo que el interés protegido es mayor al interés público de conocerla.</w:t>
            </w:r>
          </w:p>
        </w:tc>
      </w:tr>
      <w:tr w:rsidR="002B53DF" w:rsidRPr="00642BED" w:rsidTr="00CA036D">
        <w:trPr>
          <w:trHeight w:val="588"/>
        </w:trPr>
        <w:tc>
          <w:tcPr>
            <w:tcW w:w="5211" w:type="dxa"/>
          </w:tcPr>
          <w:p w:rsidR="002B53DF" w:rsidRPr="00CA036D" w:rsidRDefault="002B53DF" w:rsidP="00CA036D">
            <w:pPr>
              <w:tabs>
                <w:tab w:val="left" w:pos="3345"/>
                <w:tab w:val="center" w:pos="4419"/>
                <w:tab w:val="right" w:pos="8838"/>
              </w:tabs>
              <w:jc w:val="left"/>
              <w:rPr>
                <w:rFonts w:ascii="Arial" w:hAnsi="Arial" w:cs="Arial"/>
                <w:sz w:val="22"/>
                <w:szCs w:val="22"/>
              </w:rPr>
            </w:pPr>
            <w:r w:rsidRPr="00CA036D">
              <w:rPr>
                <w:rFonts w:ascii="Arial" w:hAnsi="Arial" w:cs="Arial"/>
                <w:sz w:val="22"/>
                <w:szCs w:val="22"/>
              </w:rPr>
              <w:lastRenderedPageBreak/>
              <w:t xml:space="preserve">Señalar si se trata de una clasificación completa o parcial </w:t>
            </w:r>
          </w:p>
          <w:p w:rsidR="002B53DF" w:rsidRPr="00CA036D" w:rsidRDefault="002B53DF" w:rsidP="006E6122">
            <w:pPr>
              <w:tabs>
                <w:tab w:val="center" w:pos="4419"/>
                <w:tab w:val="right" w:pos="8838"/>
              </w:tabs>
              <w:jc w:val="center"/>
              <w:rPr>
                <w:rFonts w:ascii="Arial" w:hAnsi="Arial" w:cs="Arial"/>
                <w:sz w:val="22"/>
                <w:szCs w:val="22"/>
              </w:rPr>
            </w:pPr>
          </w:p>
        </w:tc>
        <w:tc>
          <w:tcPr>
            <w:tcW w:w="8080" w:type="dxa"/>
          </w:tcPr>
          <w:p w:rsidR="00CA036D" w:rsidRDefault="00CA036D" w:rsidP="006E6122">
            <w:pPr>
              <w:tabs>
                <w:tab w:val="center" w:pos="4419"/>
                <w:tab w:val="right" w:pos="8838"/>
              </w:tabs>
              <w:rPr>
                <w:rFonts w:ascii="Arial" w:hAnsi="Arial" w:cs="Arial"/>
                <w:sz w:val="22"/>
                <w:szCs w:val="22"/>
              </w:rPr>
            </w:pPr>
          </w:p>
          <w:p w:rsidR="002B53DF" w:rsidRPr="00CA036D" w:rsidRDefault="002B53DF" w:rsidP="006E6122">
            <w:pPr>
              <w:tabs>
                <w:tab w:val="center" w:pos="4419"/>
                <w:tab w:val="right" w:pos="8838"/>
              </w:tabs>
              <w:rPr>
                <w:rFonts w:ascii="Arial" w:hAnsi="Arial" w:cs="Arial"/>
                <w:sz w:val="22"/>
                <w:szCs w:val="22"/>
              </w:rPr>
            </w:pPr>
            <w:r w:rsidRPr="00CA036D">
              <w:rPr>
                <w:rFonts w:ascii="Arial" w:hAnsi="Arial" w:cs="Arial"/>
                <w:sz w:val="22"/>
                <w:szCs w:val="22"/>
              </w:rPr>
              <w:t>Clasificación completa</w:t>
            </w:r>
          </w:p>
        </w:tc>
      </w:tr>
      <w:tr w:rsidR="002B53DF" w:rsidRPr="00642BED" w:rsidTr="005F47B9">
        <w:tc>
          <w:tcPr>
            <w:tcW w:w="5211" w:type="dxa"/>
          </w:tcPr>
          <w:p w:rsidR="002B53DF" w:rsidRPr="00642BED" w:rsidRDefault="002B53DF" w:rsidP="002B53DF">
            <w:pPr>
              <w:tabs>
                <w:tab w:val="center" w:pos="4419"/>
                <w:tab w:val="right" w:pos="8838"/>
              </w:tabs>
              <w:jc w:val="center"/>
              <w:rPr>
                <w:rFonts w:ascii="Arial" w:hAnsi="Arial" w:cs="Arial"/>
                <w:sz w:val="22"/>
                <w:szCs w:val="22"/>
              </w:rPr>
            </w:pPr>
            <w:r w:rsidRPr="00642BED">
              <w:rPr>
                <w:rFonts w:ascii="Arial" w:hAnsi="Arial" w:cs="Arial"/>
                <w:sz w:val="22"/>
                <w:szCs w:val="22"/>
              </w:rPr>
              <w:lastRenderedPageBreak/>
              <w:t>En caso de ser parcial, las partes del documento que son reservadas</w:t>
            </w:r>
          </w:p>
        </w:tc>
        <w:tc>
          <w:tcPr>
            <w:tcW w:w="8080" w:type="dxa"/>
            <w:shd w:val="clear" w:color="auto" w:fill="A6A6A6" w:themeFill="background1" w:themeFillShade="A6"/>
          </w:tcPr>
          <w:p w:rsidR="002B53DF" w:rsidRPr="00642BED" w:rsidRDefault="002B53DF" w:rsidP="006E6122">
            <w:pPr>
              <w:tabs>
                <w:tab w:val="center" w:pos="4419"/>
                <w:tab w:val="right" w:pos="8838"/>
              </w:tabs>
              <w:rPr>
                <w:rFonts w:ascii="Arial" w:hAnsi="Arial" w:cs="Arial"/>
                <w:sz w:val="22"/>
                <w:szCs w:val="22"/>
              </w:rPr>
            </w:pPr>
          </w:p>
        </w:tc>
      </w:tr>
      <w:tr w:rsidR="002B53DF" w:rsidRPr="00642BED" w:rsidTr="00824B75">
        <w:tc>
          <w:tcPr>
            <w:tcW w:w="5211" w:type="dxa"/>
          </w:tcPr>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En su caso, la fecha del acta en donde el Comité de Transparencia confirmó la clasificación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shd w:val="clear" w:color="auto" w:fill="auto"/>
          </w:tcPr>
          <w:p w:rsidR="006C5F52" w:rsidRPr="00642BED" w:rsidRDefault="006C5F52" w:rsidP="006C5F52">
            <w:pPr>
              <w:tabs>
                <w:tab w:val="center" w:pos="4419"/>
                <w:tab w:val="right" w:pos="8838"/>
              </w:tabs>
              <w:rPr>
                <w:rFonts w:ascii="Arial" w:hAnsi="Arial" w:cs="Arial"/>
                <w:sz w:val="22"/>
                <w:szCs w:val="22"/>
              </w:rPr>
            </w:pPr>
          </w:p>
          <w:p w:rsidR="002B53DF" w:rsidRPr="00642BED" w:rsidRDefault="00D649CD" w:rsidP="00D649CD">
            <w:pPr>
              <w:tabs>
                <w:tab w:val="center" w:pos="4419"/>
                <w:tab w:val="right" w:pos="8838"/>
              </w:tabs>
              <w:rPr>
                <w:rFonts w:ascii="Arial" w:hAnsi="Arial" w:cs="Arial"/>
                <w:sz w:val="22"/>
                <w:szCs w:val="22"/>
              </w:rPr>
            </w:pPr>
            <w:r w:rsidRPr="00642BED">
              <w:rPr>
                <w:rFonts w:ascii="Arial" w:hAnsi="Arial" w:cs="Arial"/>
                <w:sz w:val="22"/>
                <w:szCs w:val="22"/>
              </w:rPr>
              <w:t>12</w:t>
            </w:r>
            <w:r w:rsidR="006C5F52" w:rsidRPr="00642BED">
              <w:rPr>
                <w:rFonts w:ascii="Arial" w:hAnsi="Arial" w:cs="Arial"/>
                <w:sz w:val="22"/>
                <w:szCs w:val="22"/>
              </w:rPr>
              <w:t xml:space="preserve"> de septiembre de 2017</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El plazo de reserva y si se encuentra o no en prórroga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tcPr>
          <w:p w:rsidR="002B53DF" w:rsidRPr="00642BED" w:rsidRDefault="002B53DF" w:rsidP="002B53DF">
            <w:pPr>
              <w:tabs>
                <w:tab w:val="center" w:pos="4419"/>
                <w:tab w:val="right" w:pos="8838"/>
              </w:tabs>
              <w:rPr>
                <w:rFonts w:ascii="Arial" w:hAnsi="Arial" w:cs="Arial"/>
                <w:sz w:val="22"/>
                <w:szCs w:val="22"/>
              </w:rPr>
            </w:pPr>
          </w:p>
          <w:p w:rsidR="002B53DF" w:rsidRPr="00642BED" w:rsidRDefault="006C5F52" w:rsidP="00D649CD">
            <w:pPr>
              <w:tabs>
                <w:tab w:val="center" w:pos="4419"/>
                <w:tab w:val="right" w:pos="8838"/>
              </w:tabs>
              <w:rPr>
                <w:rFonts w:ascii="Arial" w:hAnsi="Arial" w:cs="Arial"/>
                <w:sz w:val="22"/>
                <w:szCs w:val="22"/>
              </w:rPr>
            </w:pPr>
            <w:r w:rsidRPr="00642BED">
              <w:rPr>
                <w:rFonts w:ascii="Arial" w:hAnsi="Arial" w:cs="Arial"/>
                <w:sz w:val="22"/>
                <w:szCs w:val="22"/>
              </w:rPr>
              <w:t xml:space="preserve">Se reserva por dos </w:t>
            </w:r>
            <w:r w:rsidR="00D649CD" w:rsidRPr="00642BED">
              <w:rPr>
                <w:rFonts w:ascii="Arial" w:hAnsi="Arial" w:cs="Arial"/>
                <w:sz w:val="22"/>
                <w:szCs w:val="22"/>
              </w:rPr>
              <w:t>años</w:t>
            </w:r>
          </w:p>
        </w:tc>
      </w:tr>
      <w:tr w:rsidR="002B53DF" w:rsidRPr="00642BED" w:rsidTr="00E550EE">
        <w:tc>
          <w:tcPr>
            <w:tcW w:w="5211" w:type="dxa"/>
          </w:tcPr>
          <w:p w:rsidR="002B53DF" w:rsidRPr="00642BED" w:rsidRDefault="002B53DF" w:rsidP="002B53DF">
            <w:pPr>
              <w:tabs>
                <w:tab w:val="center" w:pos="4419"/>
                <w:tab w:val="right" w:pos="8838"/>
              </w:tabs>
              <w:jc w:val="center"/>
              <w:rPr>
                <w:rFonts w:ascii="Arial" w:hAnsi="Arial" w:cs="Arial"/>
                <w:sz w:val="22"/>
                <w:szCs w:val="22"/>
              </w:rPr>
            </w:pPr>
            <w:r w:rsidRPr="00642BED">
              <w:rPr>
                <w:rFonts w:ascii="Arial" w:hAnsi="Arial" w:cs="Arial"/>
                <w:sz w:val="22"/>
                <w:szCs w:val="22"/>
              </w:rPr>
              <w:t xml:space="preserve">La fecha en que culmina el plazo de la clasificación </w:t>
            </w:r>
          </w:p>
        </w:tc>
        <w:tc>
          <w:tcPr>
            <w:tcW w:w="8080" w:type="dxa"/>
          </w:tcPr>
          <w:p w:rsidR="002B53DF" w:rsidRPr="00642BED" w:rsidRDefault="002B53DF" w:rsidP="006E6122">
            <w:pPr>
              <w:tabs>
                <w:tab w:val="center" w:pos="4419"/>
                <w:tab w:val="right" w:pos="8838"/>
              </w:tabs>
              <w:rPr>
                <w:rFonts w:ascii="Arial" w:hAnsi="Arial" w:cs="Arial"/>
                <w:sz w:val="22"/>
                <w:szCs w:val="22"/>
              </w:rPr>
            </w:pPr>
          </w:p>
          <w:p w:rsidR="002B53DF" w:rsidRPr="00642BED" w:rsidRDefault="00D649CD" w:rsidP="006E6122">
            <w:pPr>
              <w:tabs>
                <w:tab w:val="center" w:pos="4419"/>
                <w:tab w:val="right" w:pos="8838"/>
              </w:tabs>
              <w:rPr>
                <w:rFonts w:ascii="Arial" w:hAnsi="Arial" w:cs="Arial"/>
                <w:sz w:val="22"/>
                <w:szCs w:val="22"/>
              </w:rPr>
            </w:pPr>
            <w:r w:rsidRPr="00642BED">
              <w:rPr>
                <w:rFonts w:ascii="Arial" w:hAnsi="Arial" w:cs="Arial"/>
                <w:sz w:val="22"/>
                <w:szCs w:val="22"/>
              </w:rPr>
              <w:t>Septiembre 2019</w:t>
            </w:r>
          </w:p>
        </w:tc>
      </w:tr>
      <w:tr w:rsidR="002B53DF" w:rsidRPr="00642BED" w:rsidTr="00E550EE">
        <w:tc>
          <w:tcPr>
            <w:tcW w:w="5211" w:type="dxa"/>
          </w:tcPr>
          <w:p w:rsidR="002B53DF" w:rsidRPr="00642BED" w:rsidRDefault="002B53DF" w:rsidP="006E6122">
            <w:pPr>
              <w:tabs>
                <w:tab w:val="center" w:pos="4419"/>
                <w:tab w:val="right" w:pos="8838"/>
              </w:tabs>
              <w:jc w:val="center"/>
              <w:rPr>
                <w:rFonts w:ascii="Arial" w:hAnsi="Arial" w:cs="Arial"/>
                <w:sz w:val="22"/>
                <w:szCs w:val="22"/>
              </w:rPr>
            </w:pPr>
            <w:r w:rsidRPr="00642BED">
              <w:rPr>
                <w:rFonts w:ascii="Arial" w:hAnsi="Arial" w:cs="Arial"/>
                <w:sz w:val="22"/>
                <w:szCs w:val="22"/>
              </w:rPr>
              <w:t xml:space="preserve">Las partes o secciones de los expedientes o documentos que se clasifican </w:t>
            </w:r>
          </w:p>
          <w:p w:rsidR="002B53DF" w:rsidRPr="00642BED" w:rsidRDefault="002B53DF" w:rsidP="006E6122">
            <w:pPr>
              <w:tabs>
                <w:tab w:val="center" w:pos="4419"/>
                <w:tab w:val="right" w:pos="8838"/>
              </w:tabs>
              <w:jc w:val="center"/>
              <w:rPr>
                <w:rFonts w:ascii="Arial" w:hAnsi="Arial" w:cs="Arial"/>
                <w:sz w:val="22"/>
                <w:szCs w:val="22"/>
              </w:rPr>
            </w:pPr>
          </w:p>
        </w:tc>
        <w:tc>
          <w:tcPr>
            <w:tcW w:w="8080" w:type="dxa"/>
          </w:tcPr>
          <w:p w:rsidR="002B53DF" w:rsidRPr="00642BED" w:rsidRDefault="00D649CD" w:rsidP="00D649CD">
            <w:pPr>
              <w:rPr>
                <w:rFonts w:ascii="Arial" w:hAnsi="Arial" w:cs="Arial"/>
                <w:sz w:val="22"/>
                <w:szCs w:val="22"/>
              </w:rPr>
            </w:pPr>
            <w:r w:rsidRPr="00642BED">
              <w:rPr>
                <w:rFonts w:ascii="Arial" w:hAnsi="Arial" w:cs="Arial"/>
                <w:sz w:val="22"/>
                <w:szCs w:val="22"/>
              </w:rPr>
              <w:t xml:space="preserve">Expediente derivado del Procedimiento de Fiscalización Superior en la Segunda Fase de Determinación de Responsabilidades y </w:t>
            </w:r>
            <w:proofErr w:type="spellStart"/>
            <w:r w:rsidRPr="00642BED">
              <w:rPr>
                <w:rFonts w:ascii="Arial" w:hAnsi="Arial" w:cs="Arial"/>
                <w:sz w:val="22"/>
                <w:szCs w:val="22"/>
              </w:rPr>
              <w:t>Fincamiento</w:t>
            </w:r>
            <w:proofErr w:type="spellEnd"/>
            <w:r w:rsidRPr="00642BED">
              <w:rPr>
                <w:rFonts w:ascii="Arial" w:hAnsi="Arial" w:cs="Arial"/>
                <w:sz w:val="22"/>
                <w:szCs w:val="22"/>
              </w:rPr>
              <w:t xml:space="preserve"> de Indemnizaciones y Sanciones correspondientes a la Cuenta Pública 2015 de la Secretaría de Desarrollo Social.    </w:t>
            </w:r>
          </w:p>
        </w:tc>
      </w:tr>
    </w:tbl>
    <w:p w:rsidR="000716B4" w:rsidRPr="00403E3F" w:rsidRDefault="000716B4" w:rsidP="00C0340E">
      <w:pPr>
        <w:rPr>
          <w:rFonts w:ascii="Arial" w:hAnsi="Arial" w:cs="Arial"/>
        </w:rPr>
      </w:pPr>
    </w:p>
    <w:sectPr w:rsidR="000716B4" w:rsidRPr="00403E3F" w:rsidSect="00CA036D">
      <w:headerReference w:type="default" r:id="rId8"/>
      <w:pgSz w:w="15842" w:h="12242" w:orient="landscape" w:code="1"/>
      <w:pgMar w:top="1418" w:right="1134" w:bottom="1276" w:left="1559" w:header="709"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F86" w:rsidRDefault="00D45F86" w:rsidP="00F359C9">
      <w:r>
        <w:separator/>
      </w:r>
    </w:p>
  </w:endnote>
  <w:endnote w:type="continuationSeparator" w:id="0">
    <w:p w:rsidR="00D45F86" w:rsidRDefault="00D45F86" w:rsidP="00F3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F86" w:rsidRDefault="00D45F86" w:rsidP="00F359C9">
      <w:r>
        <w:separator/>
      </w:r>
    </w:p>
  </w:footnote>
  <w:footnote w:type="continuationSeparator" w:id="0">
    <w:p w:rsidR="00D45F86" w:rsidRDefault="00D45F86" w:rsidP="00F3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9" w:rsidRDefault="00311C93">
    <w:pPr>
      <w:pStyle w:val="Encabezado"/>
    </w:pPr>
    <w:r>
      <w:rPr>
        <w:rFonts w:ascii="Frutiger 55 Roman" w:hAnsi="Frutiger 55 Roman"/>
        <w:b/>
        <w:noProof/>
        <w:lang w:eastAsia="es-MX"/>
      </w:rPr>
      <mc:AlternateContent>
        <mc:Choice Requires="wps">
          <w:drawing>
            <wp:anchor distT="0" distB="0" distL="114300" distR="114300" simplePos="0" relativeHeight="251657216" behindDoc="0" locked="0" layoutInCell="1" allowOverlap="1" wp14:anchorId="13648E34" wp14:editId="13B0235B">
              <wp:simplePos x="0" y="0"/>
              <wp:positionH relativeFrom="column">
                <wp:posOffset>4234815</wp:posOffset>
              </wp:positionH>
              <wp:positionV relativeFrom="paragraph">
                <wp:posOffset>-92710</wp:posOffset>
              </wp:positionV>
              <wp:extent cx="3340100" cy="277495"/>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2A" w:rsidRPr="00BB435D" w:rsidRDefault="0085202A" w:rsidP="0085202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3648E34" id="_x0000_t202" coordsize="21600,21600" o:spt="202" path="m,l,21600r21600,l21600,xe">
              <v:stroke joinstyle="miter"/>
              <v:path gradientshapeok="t" o:connecttype="rect"/>
            </v:shapetype>
            <v:shape id="Text Box 4" o:spid="_x0000_s1026" type="#_x0000_t202" style="position:absolute;left:0;text-align:left;margin-left:333.45pt;margin-top:-7.3pt;width:263pt;height:21.8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1gsgIAALk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" filled="f" stroked="f">
              <v:textbox style="mso-fit-shape-to-text:t">
                <w:txbxContent>
                  <w:p w:rsidR="0085202A" w:rsidRPr="00BB435D" w:rsidRDefault="0085202A" w:rsidP="0085202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DE3"/>
    <w:multiLevelType w:val="hybridMultilevel"/>
    <w:tmpl w:val="86D06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B0863"/>
    <w:multiLevelType w:val="hybridMultilevel"/>
    <w:tmpl w:val="7FA44FF6"/>
    <w:lvl w:ilvl="0" w:tplc="0AC227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F6EA6"/>
    <w:multiLevelType w:val="hybridMultilevel"/>
    <w:tmpl w:val="62E8F8CA"/>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3" w15:restartNumberingAfterBreak="0">
    <w:nsid w:val="127F42F8"/>
    <w:multiLevelType w:val="hybridMultilevel"/>
    <w:tmpl w:val="12DE134A"/>
    <w:lvl w:ilvl="0" w:tplc="54EAF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606DFD"/>
    <w:multiLevelType w:val="hybridMultilevel"/>
    <w:tmpl w:val="C7D6E196"/>
    <w:lvl w:ilvl="0" w:tplc="8F28538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2AE7693"/>
    <w:multiLevelType w:val="hybridMultilevel"/>
    <w:tmpl w:val="36CCB550"/>
    <w:lvl w:ilvl="0" w:tplc="96A0E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139D6"/>
    <w:multiLevelType w:val="hybridMultilevel"/>
    <w:tmpl w:val="14E854FE"/>
    <w:lvl w:ilvl="0" w:tplc="6AD4E4E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95E0EAE"/>
    <w:multiLevelType w:val="hybridMultilevel"/>
    <w:tmpl w:val="6D2E1D90"/>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8" w15:restartNumberingAfterBreak="0">
    <w:nsid w:val="3BFF65B0"/>
    <w:multiLevelType w:val="hybridMultilevel"/>
    <w:tmpl w:val="AE56BC0A"/>
    <w:lvl w:ilvl="0" w:tplc="7BB65D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ECE29CF"/>
    <w:multiLevelType w:val="hybridMultilevel"/>
    <w:tmpl w:val="CAD254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060C5"/>
    <w:multiLevelType w:val="hybridMultilevel"/>
    <w:tmpl w:val="5182586C"/>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1" w15:restartNumberingAfterBreak="0">
    <w:nsid w:val="54075519"/>
    <w:multiLevelType w:val="hybridMultilevel"/>
    <w:tmpl w:val="78C47006"/>
    <w:lvl w:ilvl="0" w:tplc="E28A78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C14204"/>
    <w:multiLevelType w:val="hybridMultilevel"/>
    <w:tmpl w:val="6FE66664"/>
    <w:lvl w:ilvl="0" w:tplc="144ADFC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9605307"/>
    <w:multiLevelType w:val="hybridMultilevel"/>
    <w:tmpl w:val="A5760D4A"/>
    <w:lvl w:ilvl="0" w:tplc="080A0013">
      <w:start w:val="1"/>
      <w:numFmt w:val="upperRoman"/>
      <w:lvlText w:val="%1."/>
      <w:lvlJc w:val="righ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4" w15:restartNumberingAfterBreak="0">
    <w:nsid w:val="7F7C083D"/>
    <w:multiLevelType w:val="hybridMultilevel"/>
    <w:tmpl w:val="69CA091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7"/>
  </w:num>
  <w:num w:numId="2">
    <w:abstractNumId w:val="14"/>
  </w:num>
  <w:num w:numId="3">
    <w:abstractNumId w:val="2"/>
  </w:num>
  <w:num w:numId="4">
    <w:abstractNumId w:val="13"/>
  </w:num>
  <w:num w:numId="5">
    <w:abstractNumId w:val="10"/>
  </w:num>
  <w:num w:numId="6">
    <w:abstractNumId w:val="1"/>
  </w:num>
  <w:num w:numId="7">
    <w:abstractNumId w:val="9"/>
  </w:num>
  <w:num w:numId="8">
    <w:abstractNumId w:val="5"/>
  </w:num>
  <w:num w:numId="9">
    <w:abstractNumId w:val="11"/>
  </w:num>
  <w:num w:numId="10">
    <w:abstractNumId w:val="3"/>
  </w:num>
  <w:num w:numId="11">
    <w:abstractNumId w:val="0"/>
  </w:num>
  <w:num w:numId="12">
    <w:abstractNumId w:val="6"/>
  </w:num>
  <w:num w:numId="13">
    <w:abstractNumId w:val="8"/>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9"/>
    <w:rsid w:val="000022F5"/>
    <w:rsid w:val="00020CD4"/>
    <w:rsid w:val="000273A0"/>
    <w:rsid w:val="0002767A"/>
    <w:rsid w:val="00036E96"/>
    <w:rsid w:val="000614A0"/>
    <w:rsid w:val="00067393"/>
    <w:rsid w:val="000716B4"/>
    <w:rsid w:val="00080985"/>
    <w:rsid w:val="000A341A"/>
    <w:rsid w:val="000D1403"/>
    <w:rsid w:val="000F22F3"/>
    <w:rsid w:val="00140CD7"/>
    <w:rsid w:val="00157D8B"/>
    <w:rsid w:val="00163C75"/>
    <w:rsid w:val="00165D60"/>
    <w:rsid w:val="0016783F"/>
    <w:rsid w:val="001803BF"/>
    <w:rsid w:val="001805AC"/>
    <w:rsid w:val="00181583"/>
    <w:rsid w:val="00181C40"/>
    <w:rsid w:val="00197A15"/>
    <w:rsid w:val="001A6250"/>
    <w:rsid w:val="001B2D05"/>
    <w:rsid w:val="001D2A2D"/>
    <w:rsid w:val="001F2BA4"/>
    <w:rsid w:val="001F6733"/>
    <w:rsid w:val="00201D56"/>
    <w:rsid w:val="002147BA"/>
    <w:rsid w:val="00234A12"/>
    <w:rsid w:val="00234E8C"/>
    <w:rsid w:val="002441EA"/>
    <w:rsid w:val="00252636"/>
    <w:rsid w:val="00261022"/>
    <w:rsid w:val="002611C6"/>
    <w:rsid w:val="00262A52"/>
    <w:rsid w:val="00280079"/>
    <w:rsid w:val="002954D8"/>
    <w:rsid w:val="002B53DF"/>
    <w:rsid w:val="002C01DB"/>
    <w:rsid w:val="002C05F3"/>
    <w:rsid w:val="002F2A00"/>
    <w:rsid w:val="00300ACE"/>
    <w:rsid w:val="003068EA"/>
    <w:rsid w:val="00311C93"/>
    <w:rsid w:val="00332B93"/>
    <w:rsid w:val="00334C3C"/>
    <w:rsid w:val="003353B1"/>
    <w:rsid w:val="00356BF6"/>
    <w:rsid w:val="0036149F"/>
    <w:rsid w:val="0036283F"/>
    <w:rsid w:val="00366728"/>
    <w:rsid w:val="003704D7"/>
    <w:rsid w:val="00381240"/>
    <w:rsid w:val="00387976"/>
    <w:rsid w:val="003A5449"/>
    <w:rsid w:val="003A7817"/>
    <w:rsid w:val="003C037C"/>
    <w:rsid w:val="003D0E46"/>
    <w:rsid w:val="003D2D2E"/>
    <w:rsid w:val="003D5806"/>
    <w:rsid w:val="003F204B"/>
    <w:rsid w:val="004012D7"/>
    <w:rsid w:val="00417C4E"/>
    <w:rsid w:val="00423FE7"/>
    <w:rsid w:val="004253E0"/>
    <w:rsid w:val="00430754"/>
    <w:rsid w:val="0044226F"/>
    <w:rsid w:val="00462315"/>
    <w:rsid w:val="00463FE5"/>
    <w:rsid w:val="0047023A"/>
    <w:rsid w:val="004767AC"/>
    <w:rsid w:val="00493A02"/>
    <w:rsid w:val="004B2850"/>
    <w:rsid w:val="004B2B97"/>
    <w:rsid w:val="004B3509"/>
    <w:rsid w:val="004B3D1D"/>
    <w:rsid w:val="004B4726"/>
    <w:rsid w:val="004E5E1A"/>
    <w:rsid w:val="00500CE0"/>
    <w:rsid w:val="005460E3"/>
    <w:rsid w:val="005540CA"/>
    <w:rsid w:val="00587987"/>
    <w:rsid w:val="005936A5"/>
    <w:rsid w:val="005B6FE7"/>
    <w:rsid w:val="005D1286"/>
    <w:rsid w:val="005E57B6"/>
    <w:rsid w:val="005E64E8"/>
    <w:rsid w:val="005F47B9"/>
    <w:rsid w:val="00611DC8"/>
    <w:rsid w:val="00642BED"/>
    <w:rsid w:val="006569B0"/>
    <w:rsid w:val="006615E1"/>
    <w:rsid w:val="006649CA"/>
    <w:rsid w:val="00665E7C"/>
    <w:rsid w:val="0067582A"/>
    <w:rsid w:val="00682529"/>
    <w:rsid w:val="00683467"/>
    <w:rsid w:val="006B5A17"/>
    <w:rsid w:val="006B76C1"/>
    <w:rsid w:val="006C5F52"/>
    <w:rsid w:val="006D1081"/>
    <w:rsid w:val="006F682A"/>
    <w:rsid w:val="006F6B3A"/>
    <w:rsid w:val="006F7177"/>
    <w:rsid w:val="007173C4"/>
    <w:rsid w:val="00724090"/>
    <w:rsid w:val="00724DAF"/>
    <w:rsid w:val="007350A5"/>
    <w:rsid w:val="00744A51"/>
    <w:rsid w:val="00754B07"/>
    <w:rsid w:val="00763059"/>
    <w:rsid w:val="007809EF"/>
    <w:rsid w:val="00780B47"/>
    <w:rsid w:val="007B42C3"/>
    <w:rsid w:val="007C0D28"/>
    <w:rsid w:val="007C6E4F"/>
    <w:rsid w:val="007D3248"/>
    <w:rsid w:val="007D34B2"/>
    <w:rsid w:val="007F61D6"/>
    <w:rsid w:val="007F6346"/>
    <w:rsid w:val="00802E57"/>
    <w:rsid w:val="00824B75"/>
    <w:rsid w:val="00834E16"/>
    <w:rsid w:val="00835FD9"/>
    <w:rsid w:val="0084309B"/>
    <w:rsid w:val="0085202A"/>
    <w:rsid w:val="008728FC"/>
    <w:rsid w:val="00883F64"/>
    <w:rsid w:val="008A3ED2"/>
    <w:rsid w:val="008A54B2"/>
    <w:rsid w:val="008B7872"/>
    <w:rsid w:val="008D1443"/>
    <w:rsid w:val="008D358F"/>
    <w:rsid w:val="008D663F"/>
    <w:rsid w:val="008E7625"/>
    <w:rsid w:val="008F664A"/>
    <w:rsid w:val="00905CE4"/>
    <w:rsid w:val="00907DF8"/>
    <w:rsid w:val="00910DFE"/>
    <w:rsid w:val="00923654"/>
    <w:rsid w:val="00931934"/>
    <w:rsid w:val="0095787E"/>
    <w:rsid w:val="00997131"/>
    <w:rsid w:val="009D45A5"/>
    <w:rsid w:val="009D6100"/>
    <w:rsid w:val="009E11FF"/>
    <w:rsid w:val="009E2F44"/>
    <w:rsid w:val="009F2A7E"/>
    <w:rsid w:val="009F6C72"/>
    <w:rsid w:val="00A00A29"/>
    <w:rsid w:val="00A00C2F"/>
    <w:rsid w:val="00A166EB"/>
    <w:rsid w:val="00A51F9D"/>
    <w:rsid w:val="00A5330A"/>
    <w:rsid w:val="00A54600"/>
    <w:rsid w:val="00AA6C7F"/>
    <w:rsid w:val="00AE090D"/>
    <w:rsid w:val="00AE0F27"/>
    <w:rsid w:val="00B05732"/>
    <w:rsid w:val="00B179C2"/>
    <w:rsid w:val="00B22F41"/>
    <w:rsid w:val="00B33E38"/>
    <w:rsid w:val="00B37F29"/>
    <w:rsid w:val="00B43A19"/>
    <w:rsid w:val="00B52C78"/>
    <w:rsid w:val="00B73D48"/>
    <w:rsid w:val="00B801EF"/>
    <w:rsid w:val="00B83310"/>
    <w:rsid w:val="00B97015"/>
    <w:rsid w:val="00BA3669"/>
    <w:rsid w:val="00BA5751"/>
    <w:rsid w:val="00BB110F"/>
    <w:rsid w:val="00BB4929"/>
    <w:rsid w:val="00BE1D8C"/>
    <w:rsid w:val="00BF4B71"/>
    <w:rsid w:val="00C0340E"/>
    <w:rsid w:val="00C173B4"/>
    <w:rsid w:val="00C47F8E"/>
    <w:rsid w:val="00C51ACD"/>
    <w:rsid w:val="00C60F75"/>
    <w:rsid w:val="00C77F8D"/>
    <w:rsid w:val="00C90148"/>
    <w:rsid w:val="00CA036D"/>
    <w:rsid w:val="00CE5820"/>
    <w:rsid w:val="00CF4981"/>
    <w:rsid w:val="00D052BD"/>
    <w:rsid w:val="00D16469"/>
    <w:rsid w:val="00D266DE"/>
    <w:rsid w:val="00D45F86"/>
    <w:rsid w:val="00D47C98"/>
    <w:rsid w:val="00D63E77"/>
    <w:rsid w:val="00D649CD"/>
    <w:rsid w:val="00D814FF"/>
    <w:rsid w:val="00D907AF"/>
    <w:rsid w:val="00D97498"/>
    <w:rsid w:val="00DA33FF"/>
    <w:rsid w:val="00DC2063"/>
    <w:rsid w:val="00DC245F"/>
    <w:rsid w:val="00DD13FE"/>
    <w:rsid w:val="00E003A1"/>
    <w:rsid w:val="00E47CD4"/>
    <w:rsid w:val="00E50FE9"/>
    <w:rsid w:val="00E53AF8"/>
    <w:rsid w:val="00E550EE"/>
    <w:rsid w:val="00E56D79"/>
    <w:rsid w:val="00E835D7"/>
    <w:rsid w:val="00E9302E"/>
    <w:rsid w:val="00E97FB2"/>
    <w:rsid w:val="00EA5D11"/>
    <w:rsid w:val="00EA725A"/>
    <w:rsid w:val="00EC50D3"/>
    <w:rsid w:val="00EE4D1C"/>
    <w:rsid w:val="00EF10FD"/>
    <w:rsid w:val="00F124AC"/>
    <w:rsid w:val="00F22EBD"/>
    <w:rsid w:val="00F31F12"/>
    <w:rsid w:val="00F359C9"/>
    <w:rsid w:val="00F7676B"/>
    <w:rsid w:val="00F97411"/>
    <w:rsid w:val="00FA3EC4"/>
    <w:rsid w:val="00FA53FD"/>
    <w:rsid w:val="00FB7CB7"/>
    <w:rsid w:val="00FD22F5"/>
    <w:rsid w:val="00FD47FF"/>
    <w:rsid w:val="00FD625E"/>
    <w:rsid w:val="00FE1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27AA96-33B3-4ADC-8AF9-89B4766C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2A"/>
    <w:pPr>
      <w:jc w:val="both"/>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59C9"/>
    <w:pPr>
      <w:tabs>
        <w:tab w:val="center" w:pos="4419"/>
        <w:tab w:val="right" w:pos="8838"/>
      </w:tabs>
    </w:pPr>
  </w:style>
  <w:style w:type="character" w:customStyle="1" w:styleId="EncabezadoCar">
    <w:name w:val="Encabezado Car"/>
    <w:basedOn w:val="Fuentedeprrafopredeter"/>
    <w:link w:val="Encabezado"/>
    <w:uiPriority w:val="99"/>
    <w:rsid w:val="00F359C9"/>
  </w:style>
  <w:style w:type="paragraph" w:styleId="Piedepgina">
    <w:name w:val="footer"/>
    <w:basedOn w:val="Normal"/>
    <w:link w:val="PiedepginaCar"/>
    <w:uiPriority w:val="99"/>
    <w:unhideWhenUsed/>
    <w:rsid w:val="00F359C9"/>
    <w:pPr>
      <w:tabs>
        <w:tab w:val="center" w:pos="4419"/>
        <w:tab w:val="right" w:pos="8838"/>
      </w:tabs>
    </w:pPr>
  </w:style>
  <w:style w:type="character" w:customStyle="1" w:styleId="PiedepginaCar">
    <w:name w:val="Pie de página Car"/>
    <w:basedOn w:val="Fuentedeprrafopredeter"/>
    <w:link w:val="Piedepgina"/>
    <w:uiPriority w:val="99"/>
    <w:rsid w:val="00F359C9"/>
  </w:style>
  <w:style w:type="paragraph" w:styleId="Textodeglobo">
    <w:name w:val="Balloon Text"/>
    <w:basedOn w:val="Normal"/>
    <w:link w:val="TextodegloboCar"/>
    <w:uiPriority w:val="99"/>
    <w:semiHidden/>
    <w:unhideWhenUsed/>
    <w:rsid w:val="00F359C9"/>
    <w:rPr>
      <w:rFonts w:ascii="Tahoma" w:hAnsi="Tahoma"/>
      <w:sz w:val="16"/>
      <w:szCs w:val="16"/>
    </w:rPr>
  </w:style>
  <w:style w:type="character" w:customStyle="1" w:styleId="TextodegloboCar">
    <w:name w:val="Texto de globo Car"/>
    <w:link w:val="Textodeglobo"/>
    <w:uiPriority w:val="99"/>
    <w:semiHidden/>
    <w:rsid w:val="00F359C9"/>
    <w:rPr>
      <w:rFonts w:ascii="Tahoma" w:hAnsi="Tahoma" w:cs="Tahoma"/>
      <w:sz w:val="16"/>
      <w:szCs w:val="16"/>
    </w:rPr>
  </w:style>
  <w:style w:type="character" w:styleId="Hipervnculo">
    <w:name w:val="Hyperlink"/>
    <w:unhideWhenUsed/>
    <w:rsid w:val="00F359C9"/>
    <w:rPr>
      <w:color w:val="0000FF"/>
      <w:u w:val="single"/>
    </w:rPr>
  </w:style>
  <w:style w:type="table" w:styleId="Tablaconcuadrcula">
    <w:name w:val="Table Grid"/>
    <w:basedOn w:val="Tablanormal"/>
    <w:uiPriority w:val="59"/>
    <w:rsid w:val="0026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6250"/>
    <w:pPr>
      <w:ind w:left="708"/>
    </w:pPr>
  </w:style>
  <w:style w:type="paragraph" w:customStyle="1" w:styleId="texto">
    <w:name w:val="texto"/>
    <w:basedOn w:val="Normal"/>
    <w:rsid w:val="003D2D2E"/>
    <w:pPr>
      <w:spacing w:after="101" w:line="216" w:lineRule="atLeast"/>
      <w:ind w:firstLine="288"/>
    </w:pPr>
    <w:rPr>
      <w:rFonts w:ascii="Helv" w:eastAsia="Times New Roman" w:hAnsi="Helv"/>
      <w:sz w:val="18"/>
      <w:szCs w:val="20"/>
      <w:lang w:val="es-ES_tradnl" w:eastAsia="es-ES"/>
    </w:rPr>
  </w:style>
  <w:style w:type="paragraph" w:customStyle="1" w:styleId="Texto0">
    <w:name w:val="Texto"/>
    <w:basedOn w:val="Normal"/>
    <w:link w:val="TextoCar"/>
    <w:rsid w:val="002147BA"/>
    <w:pPr>
      <w:spacing w:after="101" w:line="216" w:lineRule="exact"/>
      <w:ind w:firstLine="288"/>
    </w:pPr>
    <w:rPr>
      <w:rFonts w:ascii="Arial" w:eastAsia="Times New Roman" w:hAnsi="Arial"/>
      <w:sz w:val="18"/>
      <w:szCs w:val="20"/>
      <w:lang w:val="es-ES" w:eastAsia="es-ES"/>
    </w:rPr>
  </w:style>
  <w:style w:type="character" w:customStyle="1" w:styleId="TextoCar">
    <w:name w:val="Texto Car"/>
    <w:link w:val="Texto0"/>
    <w:locked/>
    <w:rsid w:val="002147BA"/>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5557">
      <w:bodyDiv w:val="1"/>
      <w:marLeft w:val="0"/>
      <w:marRight w:val="0"/>
      <w:marTop w:val="0"/>
      <w:marBottom w:val="0"/>
      <w:divBdr>
        <w:top w:val="none" w:sz="0" w:space="0" w:color="auto"/>
        <w:left w:val="none" w:sz="0" w:space="0" w:color="auto"/>
        <w:bottom w:val="none" w:sz="0" w:space="0" w:color="auto"/>
        <w:right w:val="none" w:sz="0" w:space="0" w:color="auto"/>
      </w:divBdr>
    </w:div>
    <w:div w:id="20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FA61A-C4F0-4B96-858A-F578DF91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8488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MCONTRERAS</dc:creator>
  <cp:lastModifiedBy>Arcelid Herrera García</cp:lastModifiedBy>
  <cp:revision>2</cp:revision>
  <cp:lastPrinted>2014-02-05T18:39:00Z</cp:lastPrinted>
  <dcterms:created xsi:type="dcterms:W3CDTF">2018-01-10T21:04:00Z</dcterms:created>
  <dcterms:modified xsi:type="dcterms:W3CDTF">2018-01-10T21:04:00Z</dcterms:modified>
</cp:coreProperties>
</file>