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080"/>
      </w:tblGrid>
      <w:tr w:rsidR="000716B4" w:rsidRPr="00B24FE4" w:rsidTr="00E550EE">
        <w:tc>
          <w:tcPr>
            <w:tcW w:w="5211" w:type="dxa"/>
            <w:tcBorders>
              <w:left w:val="single" w:sz="4" w:space="0" w:color="auto"/>
            </w:tcBorders>
            <w:shd w:val="clear" w:color="auto" w:fill="92D050"/>
          </w:tcPr>
          <w:p w:rsidR="000716B4" w:rsidRPr="00B24FE4" w:rsidRDefault="000716B4" w:rsidP="006E6122">
            <w:pPr>
              <w:tabs>
                <w:tab w:val="center" w:pos="4419"/>
                <w:tab w:val="right" w:pos="8838"/>
              </w:tabs>
              <w:jc w:val="center"/>
              <w:rPr>
                <w:rFonts w:ascii="Arial" w:hAnsi="Arial" w:cs="Arial"/>
                <w:b/>
                <w:sz w:val="22"/>
                <w:szCs w:val="22"/>
              </w:rPr>
            </w:pPr>
            <w:bookmarkStart w:id="0" w:name="_GoBack"/>
            <w:bookmarkEnd w:id="0"/>
            <w:r w:rsidRPr="00B24FE4">
              <w:rPr>
                <w:rFonts w:ascii="Arial" w:hAnsi="Arial" w:cs="Arial"/>
                <w:b/>
                <w:sz w:val="22"/>
                <w:szCs w:val="22"/>
              </w:rPr>
              <w:t>Concepto</w:t>
            </w:r>
          </w:p>
        </w:tc>
        <w:tc>
          <w:tcPr>
            <w:tcW w:w="8080" w:type="dxa"/>
            <w:shd w:val="clear" w:color="auto" w:fill="92D050"/>
          </w:tcPr>
          <w:p w:rsidR="000716B4" w:rsidRPr="00B24FE4" w:rsidRDefault="000716B4" w:rsidP="006E6122">
            <w:pPr>
              <w:tabs>
                <w:tab w:val="center" w:pos="4419"/>
                <w:tab w:val="right" w:pos="8838"/>
              </w:tabs>
              <w:jc w:val="center"/>
              <w:rPr>
                <w:rFonts w:ascii="Arial" w:hAnsi="Arial" w:cs="Arial"/>
                <w:b/>
                <w:sz w:val="22"/>
                <w:szCs w:val="22"/>
              </w:rPr>
            </w:pPr>
            <w:r w:rsidRPr="00B24FE4">
              <w:rPr>
                <w:rFonts w:ascii="Arial" w:hAnsi="Arial" w:cs="Arial"/>
                <w:b/>
                <w:sz w:val="22"/>
                <w:szCs w:val="22"/>
              </w:rPr>
              <w:t>Dónde:</w:t>
            </w:r>
          </w:p>
        </w:tc>
      </w:tr>
      <w:tr w:rsidR="000716B4" w:rsidRPr="00B24FE4" w:rsidTr="00E550EE">
        <w:tc>
          <w:tcPr>
            <w:tcW w:w="5211" w:type="dxa"/>
          </w:tcPr>
          <w:p w:rsidR="000716B4" w:rsidRPr="00B24FE4" w:rsidRDefault="000716B4" w:rsidP="00E550EE">
            <w:pPr>
              <w:tabs>
                <w:tab w:val="center" w:pos="4419"/>
                <w:tab w:val="right" w:pos="8838"/>
              </w:tabs>
              <w:jc w:val="center"/>
              <w:rPr>
                <w:rFonts w:ascii="Arial" w:hAnsi="Arial" w:cs="Arial"/>
                <w:sz w:val="22"/>
                <w:szCs w:val="22"/>
              </w:rPr>
            </w:pPr>
            <w:r w:rsidRPr="00B24FE4">
              <w:rPr>
                <w:rFonts w:ascii="Arial" w:hAnsi="Arial" w:cs="Arial"/>
                <w:sz w:val="22"/>
                <w:szCs w:val="22"/>
              </w:rPr>
              <w:t xml:space="preserve">El área que generó, obtuvo, adquirió, transformó y/o conserve la información </w:t>
            </w:r>
          </w:p>
        </w:tc>
        <w:tc>
          <w:tcPr>
            <w:tcW w:w="8080" w:type="dxa"/>
          </w:tcPr>
          <w:p w:rsidR="00766804" w:rsidRPr="00B24FE4" w:rsidRDefault="00766804" w:rsidP="00766804">
            <w:pPr>
              <w:rPr>
                <w:rFonts w:ascii="Arial" w:hAnsi="Arial" w:cs="Arial"/>
                <w:sz w:val="22"/>
                <w:szCs w:val="22"/>
              </w:rPr>
            </w:pPr>
            <w:r w:rsidRPr="00B24FE4">
              <w:rPr>
                <w:rFonts w:ascii="Arial" w:hAnsi="Arial" w:cs="Arial"/>
                <w:sz w:val="22"/>
                <w:szCs w:val="22"/>
              </w:rPr>
              <w:t xml:space="preserve">Dirección General de Asuntos Jurídicos </w:t>
            </w:r>
          </w:p>
          <w:p w:rsidR="000716B4" w:rsidRPr="00B24FE4" w:rsidRDefault="00766804" w:rsidP="002B53DF">
            <w:pPr>
              <w:rPr>
                <w:rFonts w:ascii="Arial" w:hAnsi="Arial" w:cs="Arial"/>
                <w:sz w:val="22"/>
                <w:szCs w:val="22"/>
              </w:rPr>
            </w:pPr>
            <w:r w:rsidRPr="00B24FE4">
              <w:rPr>
                <w:rFonts w:ascii="Arial" w:hAnsi="Arial" w:cs="Arial"/>
                <w:sz w:val="22"/>
                <w:szCs w:val="22"/>
              </w:rPr>
              <w:t xml:space="preserve">Auditoría Especial de Fiscalización a Cuentas Públicas </w:t>
            </w:r>
          </w:p>
        </w:tc>
      </w:tr>
      <w:tr w:rsidR="002B53DF" w:rsidRPr="00B24FE4" w:rsidTr="00E550EE">
        <w:tc>
          <w:tcPr>
            <w:tcW w:w="5211" w:type="dxa"/>
          </w:tcPr>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El nombre del documento </w:t>
            </w:r>
          </w:p>
          <w:p w:rsidR="002B53DF" w:rsidRPr="00B24FE4" w:rsidRDefault="002B53DF" w:rsidP="006E6122">
            <w:pPr>
              <w:tabs>
                <w:tab w:val="center" w:pos="4419"/>
                <w:tab w:val="right" w:pos="8838"/>
              </w:tabs>
              <w:jc w:val="center"/>
              <w:rPr>
                <w:rFonts w:ascii="Arial" w:hAnsi="Arial" w:cs="Arial"/>
                <w:sz w:val="22"/>
                <w:szCs w:val="22"/>
              </w:rPr>
            </w:pPr>
          </w:p>
        </w:tc>
        <w:tc>
          <w:tcPr>
            <w:tcW w:w="8080" w:type="dxa"/>
          </w:tcPr>
          <w:p w:rsidR="002B53DF" w:rsidRPr="00B24FE4" w:rsidRDefault="00766804" w:rsidP="002B53DF">
            <w:pPr>
              <w:rPr>
                <w:rFonts w:ascii="Arial" w:hAnsi="Arial" w:cs="Arial"/>
                <w:sz w:val="22"/>
                <w:szCs w:val="22"/>
              </w:rPr>
            </w:pPr>
            <w:r w:rsidRPr="00B24FE4">
              <w:rPr>
                <w:rFonts w:ascii="Arial" w:hAnsi="Arial" w:cs="Arial"/>
                <w:sz w:val="22"/>
                <w:szCs w:val="22"/>
              </w:rPr>
              <w:t xml:space="preserve">Expedientes de los Entes Fiscalizables señalados en el Decreto Número 349 que Aprueba el Informe del Resultado de las Cuentas Públicas de los Entes Fiscalizables del Estado de Veracruz, correspondientes al ejercicio dos mil dieciséis, a los que se les incoe la Segunda Fase de </w:t>
            </w:r>
            <w:r w:rsidRPr="00B24FE4">
              <w:rPr>
                <w:rFonts w:ascii="Arial" w:hAnsi="Arial" w:cs="Arial"/>
                <w:i/>
                <w:sz w:val="22"/>
                <w:szCs w:val="22"/>
              </w:rPr>
              <w:t xml:space="preserve">Determinación de Responsabilidades y </w:t>
            </w:r>
            <w:proofErr w:type="spellStart"/>
            <w:r w:rsidRPr="00B24FE4">
              <w:rPr>
                <w:rFonts w:ascii="Arial" w:hAnsi="Arial" w:cs="Arial"/>
                <w:i/>
                <w:sz w:val="22"/>
                <w:szCs w:val="22"/>
              </w:rPr>
              <w:t>Fincamiento</w:t>
            </w:r>
            <w:proofErr w:type="spellEnd"/>
            <w:r w:rsidRPr="00B24FE4">
              <w:rPr>
                <w:rFonts w:ascii="Arial" w:hAnsi="Arial" w:cs="Arial"/>
                <w:i/>
                <w:sz w:val="22"/>
                <w:szCs w:val="22"/>
              </w:rPr>
              <w:t xml:space="preserve"> de Indemnizaciones y Sanciones</w:t>
            </w:r>
            <w:r w:rsidRPr="00B24FE4">
              <w:rPr>
                <w:rFonts w:ascii="Arial" w:hAnsi="Arial" w:cs="Arial"/>
                <w:sz w:val="22"/>
                <w:szCs w:val="22"/>
              </w:rPr>
              <w:t xml:space="preserve"> (Anexo).</w:t>
            </w:r>
            <w:r w:rsidR="00FD22F5" w:rsidRPr="00B24FE4">
              <w:rPr>
                <w:rFonts w:ascii="Arial" w:hAnsi="Arial" w:cs="Arial"/>
                <w:sz w:val="22"/>
                <w:szCs w:val="22"/>
              </w:rPr>
              <w:t xml:space="preserve">.    </w:t>
            </w:r>
          </w:p>
        </w:tc>
      </w:tr>
      <w:tr w:rsidR="002B53DF" w:rsidRPr="00B24FE4" w:rsidTr="00E550EE">
        <w:tc>
          <w:tcPr>
            <w:tcW w:w="5211" w:type="dxa"/>
          </w:tcPr>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Fracción del numeral séptimo de los presentes lineamientos que da origen a la reserva </w:t>
            </w:r>
          </w:p>
          <w:p w:rsidR="002B53DF" w:rsidRPr="00B24FE4" w:rsidRDefault="002B53DF" w:rsidP="006E6122">
            <w:pPr>
              <w:tabs>
                <w:tab w:val="center" w:pos="4419"/>
                <w:tab w:val="right" w:pos="8838"/>
              </w:tabs>
              <w:jc w:val="center"/>
              <w:rPr>
                <w:rFonts w:ascii="Arial" w:hAnsi="Arial" w:cs="Arial"/>
                <w:sz w:val="22"/>
                <w:szCs w:val="22"/>
              </w:rPr>
            </w:pPr>
          </w:p>
        </w:tc>
        <w:tc>
          <w:tcPr>
            <w:tcW w:w="8080" w:type="dxa"/>
          </w:tcPr>
          <w:p w:rsidR="002B53DF" w:rsidRPr="00B24FE4" w:rsidRDefault="002B53DF" w:rsidP="002B53DF">
            <w:pPr>
              <w:pStyle w:val="Texto0"/>
              <w:spacing w:line="230" w:lineRule="exact"/>
              <w:ind w:firstLine="0"/>
              <w:rPr>
                <w:rFonts w:eastAsia="Calibri" w:cs="Arial"/>
                <w:b/>
                <w:sz w:val="22"/>
                <w:szCs w:val="22"/>
                <w:lang w:val="es-MX" w:eastAsia="en-US"/>
              </w:rPr>
            </w:pPr>
            <w:r w:rsidRPr="00B24FE4">
              <w:rPr>
                <w:rFonts w:eastAsia="Calibri" w:cs="Arial"/>
                <w:b/>
                <w:sz w:val="22"/>
                <w:szCs w:val="22"/>
                <w:lang w:val="es-MX" w:eastAsia="en-US"/>
              </w:rPr>
              <w:t>Lineamientos Generales en materia de Clasificación y Desclasificación de la Información, así como para la Elaboración de Versiones Públicas:</w:t>
            </w:r>
          </w:p>
          <w:p w:rsidR="002B53DF" w:rsidRPr="00B24FE4" w:rsidRDefault="002B53DF" w:rsidP="002B53DF">
            <w:pPr>
              <w:pStyle w:val="Texto0"/>
              <w:spacing w:line="230" w:lineRule="exact"/>
              <w:ind w:firstLine="0"/>
              <w:rPr>
                <w:rFonts w:cs="Arial"/>
                <w:i/>
                <w:sz w:val="22"/>
                <w:szCs w:val="22"/>
              </w:rPr>
            </w:pPr>
            <w:r w:rsidRPr="00B24FE4">
              <w:rPr>
                <w:rFonts w:cs="Arial"/>
                <w:i/>
                <w:sz w:val="22"/>
                <w:szCs w:val="22"/>
              </w:rPr>
              <w:t>Vigésimo noveno</w:t>
            </w:r>
            <w:r w:rsidRPr="00B24FE4">
              <w:rPr>
                <w:rFonts w:cs="Arial"/>
                <w:b/>
                <w:i/>
                <w:sz w:val="22"/>
                <w:szCs w:val="22"/>
              </w:rPr>
              <w:t>.</w:t>
            </w:r>
            <w:r w:rsidRPr="00B24FE4">
              <w:rPr>
                <w:rFonts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2B53DF" w:rsidRPr="00B24FE4" w:rsidRDefault="002B53DF" w:rsidP="002B53DF">
            <w:pPr>
              <w:pStyle w:val="Texto0"/>
              <w:spacing w:line="230" w:lineRule="exact"/>
              <w:ind w:left="708" w:firstLine="0"/>
              <w:rPr>
                <w:rFonts w:cs="Arial"/>
                <w:i/>
                <w:sz w:val="22"/>
                <w:szCs w:val="22"/>
              </w:rPr>
            </w:pPr>
            <w:r w:rsidRPr="00B24FE4">
              <w:rPr>
                <w:rFonts w:cs="Arial"/>
                <w:i/>
                <w:sz w:val="22"/>
                <w:szCs w:val="22"/>
              </w:rPr>
              <w:t xml:space="preserve">I. La existencia de un procedimiento judicial, administrativo o arbitral en trámite; </w:t>
            </w:r>
          </w:p>
          <w:p w:rsidR="002B53DF" w:rsidRPr="00B24FE4" w:rsidRDefault="002B53DF" w:rsidP="002B53DF">
            <w:pPr>
              <w:pStyle w:val="Texto0"/>
              <w:spacing w:line="230" w:lineRule="exact"/>
              <w:ind w:left="708" w:firstLine="0"/>
              <w:rPr>
                <w:rFonts w:cs="Arial"/>
                <w:i/>
                <w:sz w:val="22"/>
                <w:szCs w:val="22"/>
              </w:rPr>
            </w:pPr>
            <w:r w:rsidRPr="00B24FE4">
              <w:rPr>
                <w:rFonts w:cs="Arial"/>
                <w:i/>
                <w:sz w:val="22"/>
                <w:szCs w:val="22"/>
              </w:rPr>
              <w:t xml:space="preserve">II. Que el sujeto obligado sea parte en ese procedimiento; </w:t>
            </w:r>
          </w:p>
          <w:p w:rsidR="006C5F52" w:rsidRPr="00B24FE4" w:rsidRDefault="002B53DF" w:rsidP="006C5F52">
            <w:pPr>
              <w:pStyle w:val="Texto0"/>
              <w:spacing w:line="230" w:lineRule="exact"/>
              <w:ind w:left="708" w:firstLine="0"/>
              <w:rPr>
                <w:rFonts w:cs="Arial"/>
                <w:i/>
                <w:sz w:val="22"/>
                <w:szCs w:val="22"/>
              </w:rPr>
            </w:pPr>
            <w:r w:rsidRPr="00B24FE4">
              <w:rPr>
                <w:rFonts w:cs="Arial"/>
                <w:i/>
                <w:sz w:val="22"/>
                <w:szCs w:val="22"/>
              </w:rPr>
              <w:t>III. Que la información no sea conocida por la contraparte antes de la presentación de la misma en el proceso, y</w:t>
            </w:r>
            <w:r w:rsidR="006C5F52" w:rsidRPr="00B24FE4">
              <w:rPr>
                <w:rFonts w:cs="Arial"/>
                <w:i/>
                <w:sz w:val="22"/>
                <w:szCs w:val="22"/>
              </w:rPr>
              <w:t xml:space="preserve"> </w:t>
            </w:r>
          </w:p>
          <w:p w:rsidR="002B53DF" w:rsidRPr="00B24FE4" w:rsidRDefault="002B53DF" w:rsidP="006C5F52">
            <w:pPr>
              <w:pStyle w:val="Texto0"/>
              <w:spacing w:line="230" w:lineRule="exact"/>
              <w:ind w:left="708" w:firstLine="0"/>
              <w:rPr>
                <w:rFonts w:cs="Arial"/>
                <w:i/>
                <w:sz w:val="22"/>
                <w:szCs w:val="22"/>
              </w:rPr>
            </w:pPr>
            <w:r w:rsidRPr="00B24FE4">
              <w:rPr>
                <w:rFonts w:cs="Arial"/>
                <w:i/>
                <w:sz w:val="22"/>
                <w:szCs w:val="22"/>
              </w:rPr>
              <w:t xml:space="preserve">IV. Que con su divulgación se afecte la oportunidad de llevar a cabo </w:t>
            </w:r>
            <w:proofErr w:type="gramStart"/>
            <w:r w:rsidRPr="00B24FE4">
              <w:rPr>
                <w:rFonts w:cs="Arial"/>
                <w:i/>
                <w:sz w:val="22"/>
                <w:szCs w:val="22"/>
              </w:rPr>
              <w:t>alguna</w:t>
            </w:r>
            <w:proofErr w:type="gramEnd"/>
            <w:r w:rsidRPr="00B24FE4">
              <w:rPr>
                <w:rFonts w:cs="Arial"/>
                <w:i/>
                <w:sz w:val="22"/>
                <w:szCs w:val="22"/>
              </w:rPr>
              <w:t xml:space="preserve"> de las garantías del debido proceso.</w:t>
            </w:r>
          </w:p>
        </w:tc>
      </w:tr>
      <w:tr w:rsidR="002B53DF" w:rsidRPr="00B24FE4" w:rsidTr="00E550EE">
        <w:tc>
          <w:tcPr>
            <w:tcW w:w="5211" w:type="dxa"/>
          </w:tcPr>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2B53DF">
            <w:pPr>
              <w:tabs>
                <w:tab w:val="center" w:pos="4419"/>
                <w:tab w:val="right" w:pos="8838"/>
              </w:tabs>
              <w:jc w:val="center"/>
              <w:rPr>
                <w:rFonts w:ascii="Arial" w:hAnsi="Arial" w:cs="Arial"/>
                <w:sz w:val="22"/>
                <w:szCs w:val="22"/>
              </w:rPr>
            </w:pPr>
            <w:r w:rsidRPr="00B24FE4">
              <w:rPr>
                <w:rFonts w:ascii="Arial" w:hAnsi="Arial" w:cs="Arial"/>
                <w:sz w:val="22"/>
                <w:szCs w:val="22"/>
              </w:rPr>
              <w:t>La fecha de clasificación</w:t>
            </w:r>
          </w:p>
        </w:tc>
        <w:tc>
          <w:tcPr>
            <w:tcW w:w="8080" w:type="dxa"/>
          </w:tcPr>
          <w:p w:rsidR="002B53DF" w:rsidRPr="00B24FE4" w:rsidRDefault="002B53DF" w:rsidP="006E6122">
            <w:pPr>
              <w:tabs>
                <w:tab w:val="center" w:pos="4419"/>
                <w:tab w:val="right" w:pos="8838"/>
              </w:tabs>
              <w:rPr>
                <w:rFonts w:ascii="Arial" w:hAnsi="Arial" w:cs="Arial"/>
                <w:sz w:val="22"/>
                <w:szCs w:val="22"/>
              </w:rPr>
            </w:pPr>
          </w:p>
          <w:p w:rsidR="002B53DF" w:rsidRPr="00B24FE4" w:rsidRDefault="00766804" w:rsidP="00FD22F5">
            <w:pPr>
              <w:tabs>
                <w:tab w:val="center" w:pos="4419"/>
                <w:tab w:val="right" w:pos="8838"/>
              </w:tabs>
              <w:rPr>
                <w:rFonts w:ascii="Arial" w:hAnsi="Arial" w:cs="Arial"/>
                <w:sz w:val="22"/>
                <w:szCs w:val="22"/>
              </w:rPr>
            </w:pPr>
            <w:r w:rsidRPr="00B24FE4">
              <w:rPr>
                <w:rFonts w:ascii="Arial" w:hAnsi="Arial" w:cs="Arial"/>
                <w:sz w:val="22"/>
                <w:szCs w:val="22"/>
              </w:rPr>
              <w:t>06 de noviembre</w:t>
            </w:r>
            <w:r w:rsidR="002B53DF" w:rsidRPr="00B24FE4">
              <w:rPr>
                <w:rFonts w:ascii="Arial" w:hAnsi="Arial" w:cs="Arial"/>
                <w:sz w:val="22"/>
                <w:szCs w:val="22"/>
              </w:rPr>
              <w:t xml:space="preserve"> de 2017</w:t>
            </w:r>
          </w:p>
        </w:tc>
      </w:tr>
      <w:tr w:rsidR="002B53DF" w:rsidRPr="00B24FE4" w:rsidTr="00E550EE">
        <w:tc>
          <w:tcPr>
            <w:tcW w:w="5211" w:type="dxa"/>
          </w:tcPr>
          <w:p w:rsidR="002B53DF" w:rsidRPr="00B24FE4" w:rsidRDefault="002B53DF" w:rsidP="006E6122">
            <w:pPr>
              <w:tabs>
                <w:tab w:val="center" w:pos="4419"/>
                <w:tab w:val="right" w:pos="8838"/>
              </w:tabs>
              <w:jc w:val="center"/>
              <w:rPr>
                <w:rFonts w:ascii="Arial" w:hAnsi="Arial" w:cs="Arial"/>
                <w:sz w:val="22"/>
                <w:szCs w:val="22"/>
              </w:rPr>
            </w:pPr>
          </w:p>
          <w:p w:rsidR="002B53DF" w:rsidRPr="00B24FE4" w:rsidRDefault="002B53DF"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El fundamento legal de la clasificación </w:t>
            </w:r>
          </w:p>
          <w:p w:rsidR="002B53DF" w:rsidRPr="00B24FE4" w:rsidRDefault="002B53DF" w:rsidP="006E6122">
            <w:pPr>
              <w:tabs>
                <w:tab w:val="center" w:pos="4419"/>
                <w:tab w:val="right" w:pos="8838"/>
              </w:tabs>
              <w:jc w:val="center"/>
              <w:rPr>
                <w:rFonts w:ascii="Arial" w:hAnsi="Arial" w:cs="Arial"/>
                <w:sz w:val="22"/>
                <w:szCs w:val="22"/>
              </w:rPr>
            </w:pPr>
          </w:p>
        </w:tc>
        <w:tc>
          <w:tcPr>
            <w:tcW w:w="8080" w:type="dxa"/>
          </w:tcPr>
          <w:p w:rsidR="00B24FE4" w:rsidRPr="00B24FE4" w:rsidRDefault="00B24FE4" w:rsidP="00B24FE4">
            <w:pPr>
              <w:rPr>
                <w:rFonts w:ascii="Arial" w:hAnsi="Arial" w:cs="Arial"/>
                <w:sz w:val="22"/>
                <w:szCs w:val="22"/>
              </w:rPr>
            </w:pPr>
            <w:r w:rsidRPr="00B24FE4">
              <w:rPr>
                <w:rFonts w:ascii="Arial" w:hAnsi="Arial" w:cs="Arial"/>
                <w:b/>
                <w:sz w:val="22"/>
                <w:szCs w:val="22"/>
              </w:rPr>
              <w:t xml:space="preserve">Artículo 113 fracciones VII, IX, X, XI y XII </w:t>
            </w:r>
            <w:r w:rsidRPr="00B24FE4">
              <w:rPr>
                <w:rFonts w:ascii="Arial" w:hAnsi="Arial" w:cs="Arial"/>
                <w:sz w:val="22"/>
                <w:szCs w:val="22"/>
              </w:rPr>
              <w:t>de la Ley General de Transparencia y Acceso a la Información Pública.</w:t>
            </w:r>
          </w:p>
          <w:p w:rsidR="00B24FE4" w:rsidRPr="00B24FE4" w:rsidRDefault="00B24FE4" w:rsidP="00B24FE4">
            <w:pPr>
              <w:rPr>
                <w:rFonts w:ascii="Arial" w:hAnsi="Arial" w:cs="Arial"/>
                <w:b/>
                <w:sz w:val="22"/>
                <w:szCs w:val="22"/>
              </w:rPr>
            </w:pPr>
            <w:r w:rsidRPr="00B24FE4">
              <w:rPr>
                <w:rFonts w:ascii="Arial" w:hAnsi="Arial" w:cs="Arial"/>
                <w:b/>
                <w:sz w:val="22"/>
                <w:szCs w:val="22"/>
              </w:rPr>
              <w:t xml:space="preserve">Artículo 68 Fracciones III, IV, V, VI y VII </w:t>
            </w:r>
            <w:r w:rsidRPr="00B24FE4">
              <w:rPr>
                <w:rFonts w:ascii="Arial" w:hAnsi="Arial" w:cs="Arial"/>
                <w:sz w:val="22"/>
                <w:szCs w:val="22"/>
              </w:rPr>
              <w:t xml:space="preserve"> de la Ley Número 875 de Transparencia y Acceso a la Información Pública para el Estado de Veracruz de Ignacio de la Llave. </w:t>
            </w:r>
          </w:p>
          <w:p w:rsidR="00B24FE4" w:rsidRPr="00B24FE4" w:rsidRDefault="00B24FE4" w:rsidP="00B24FE4">
            <w:pPr>
              <w:pStyle w:val="Texto0"/>
              <w:spacing w:after="0" w:line="240" w:lineRule="auto"/>
              <w:ind w:firstLine="0"/>
              <w:rPr>
                <w:rFonts w:eastAsia="Calibri" w:cs="Arial"/>
                <w:b/>
                <w:sz w:val="22"/>
                <w:szCs w:val="22"/>
                <w:lang w:val="es-MX" w:eastAsia="en-US"/>
              </w:rPr>
            </w:pPr>
            <w:r w:rsidRPr="00B24FE4">
              <w:rPr>
                <w:rFonts w:eastAsia="Calibri" w:cs="Arial"/>
                <w:b/>
                <w:sz w:val="22"/>
                <w:szCs w:val="22"/>
                <w:lang w:val="es-MX" w:eastAsia="en-US"/>
              </w:rPr>
              <w:t>Lineamientos Generales en materia de Clasificación y Desclasificación de la Información, así como para la Elaboración de Versiones Públicas:</w:t>
            </w:r>
          </w:p>
          <w:p w:rsidR="00B24FE4" w:rsidRPr="00B24FE4" w:rsidRDefault="00B24FE4" w:rsidP="00B24FE4">
            <w:pPr>
              <w:rPr>
                <w:rFonts w:ascii="Arial" w:hAnsi="Arial" w:cs="Arial"/>
                <w:i/>
                <w:sz w:val="22"/>
                <w:szCs w:val="22"/>
              </w:rPr>
            </w:pPr>
            <w:r w:rsidRPr="00B24FE4">
              <w:rPr>
                <w:rFonts w:ascii="Arial" w:hAnsi="Arial" w:cs="Arial"/>
                <w:b/>
                <w:i/>
                <w:sz w:val="22"/>
                <w:szCs w:val="22"/>
              </w:rPr>
              <w:t>Vigésimo sexto.</w:t>
            </w:r>
            <w:r w:rsidRPr="00B24FE4">
              <w:rPr>
                <w:rFonts w:ascii="Arial" w:hAnsi="Arial" w:cs="Arial"/>
                <w:i/>
                <w:sz w:val="22"/>
                <w:szCs w:val="22"/>
              </w:rPr>
              <w:t xml:space="preserve">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 </w:t>
            </w:r>
          </w:p>
          <w:p w:rsidR="00B24FE4" w:rsidRPr="00B24FE4" w:rsidRDefault="00B24FE4" w:rsidP="00B24FE4">
            <w:pPr>
              <w:rPr>
                <w:rFonts w:ascii="Arial" w:hAnsi="Arial" w:cs="Arial"/>
                <w:i/>
                <w:sz w:val="22"/>
                <w:szCs w:val="22"/>
              </w:rPr>
            </w:pPr>
            <w:r w:rsidRPr="00B24FE4">
              <w:rPr>
                <w:rFonts w:ascii="Arial" w:hAnsi="Arial" w:cs="Arial"/>
                <w:i/>
                <w:sz w:val="22"/>
                <w:szCs w:val="22"/>
              </w:rPr>
              <w:t xml:space="preserve">Para que se verifique el supuesto de reserva, cuando se cause un perjuicio a las </w:t>
            </w:r>
            <w:r w:rsidRPr="00B24FE4">
              <w:rPr>
                <w:rFonts w:ascii="Arial" w:hAnsi="Arial" w:cs="Arial"/>
                <w:i/>
                <w:sz w:val="22"/>
                <w:szCs w:val="22"/>
              </w:rPr>
              <w:lastRenderedPageBreak/>
              <w:t>actividades de persecución de los delitos, deben de actualizarse los siguientes elementos:</w:t>
            </w:r>
          </w:p>
          <w:p w:rsidR="00B24FE4" w:rsidRPr="00B24FE4" w:rsidRDefault="00B24FE4" w:rsidP="00B24FE4">
            <w:pPr>
              <w:rPr>
                <w:rFonts w:ascii="Arial" w:hAnsi="Arial" w:cs="Arial"/>
                <w:i/>
                <w:sz w:val="22"/>
                <w:szCs w:val="22"/>
              </w:rPr>
            </w:pPr>
            <w:r w:rsidRPr="00B24FE4">
              <w:rPr>
                <w:rFonts w:ascii="Arial" w:hAnsi="Arial" w:cs="Arial"/>
                <w:i/>
                <w:sz w:val="22"/>
                <w:szCs w:val="22"/>
              </w:rPr>
              <w:t xml:space="preserve"> I. La existencia de un proceso penal en sustanciación o una carpeta de investigación en trámite; </w:t>
            </w:r>
          </w:p>
          <w:p w:rsidR="00B24FE4" w:rsidRPr="00B24FE4" w:rsidRDefault="00B24FE4" w:rsidP="00B24FE4">
            <w:pPr>
              <w:rPr>
                <w:rFonts w:ascii="Arial" w:hAnsi="Arial" w:cs="Arial"/>
                <w:i/>
                <w:sz w:val="22"/>
                <w:szCs w:val="22"/>
              </w:rPr>
            </w:pPr>
            <w:r w:rsidRPr="00B24FE4">
              <w:rPr>
                <w:rFonts w:ascii="Arial" w:hAnsi="Arial" w:cs="Arial"/>
                <w:i/>
                <w:sz w:val="22"/>
                <w:szCs w:val="22"/>
              </w:rPr>
              <w:t>II. Que se acredite el vínculo que existe entre la información solicitada y la carpeta de investigación, o el proceso penal, según sea el caso, y</w:t>
            </w:r>
          </w:p>
          <w:p w:rsidR="00B24FE4" w:rsidRPr="00B24FE4" w:rsidRDefault="00B24FE4" w:rsidP="00B24FE4">
            <w:pPr>
              <w:rPr>
                <w:rFonts w:ascii="Arial" w:hAnsi="Arial" w:cs="Arial"/>
                <w:i/>
                <w:sz w:val="22"/>
                <w:szCs w:val="22"/>
              </w:rPr>
            </w:pPr>
            <w:r w:rsidRPr="00B24FE4">
              <w:rPr>
                <w:rFonts w:ascii="Arial" w:hAnsi="Arial" w:cs="Arial"/>
                <w:i/>
                <w:sz w:val="22"/>
                <w:szCs w:val="22"/>
              </w:rPr>
              <w:t xml:space="preserve"> III. Que la difusión de la información pueda impedir u obstruir las funciones que ejerce el Ministerio Público o su equivalente durante la etapa de investigación o ante los tribunales judiciales con motivo del ejercicio de la acción penal. </w:t>
            </w:r>
          </w:p>
          <w:p w:rsidR="00B24FE4" w:rsidRPr="00B24FE4" w:rsidRDefault="00B24FE4" w:rsidP="00B24FE4">
            <w:pPr>
              <w:rPr>
                <w:rFonts w:ascii="Arial" w:hAnsi="Arial" w:cs="Arial"/>
                <w:i/>
                <w:sz w:val="22"/>
                <w:szCs w:val="22"/>
              </w:rPr>
            </w:pPr>
            <w:r w:rsidRPr="00B24FE4">
              <w:rPr>
                <w:rFonts w:ascii="Arial" w:hAnsi="Arial" w:cs="Arial"/>
                <w:b/>
                <w:i/>
                <w:sz w:val="22"/>
                <w:szCs w:val="22"/>
              </w:rPr>
              <w:t>Vigésimo séptimo</w:t>
            </w:r>
            <w:r w:rsidRPr="00B24FE4">
              <w:rPr>
                <w:rFonts w:ascii="Arial" w:hAnsi="Arial" w:cs="Arial"/>
                <w:i/>
                <w:sz w:val="22"/>
                <w:szCs w:val="22"/>
              </w:rPr>
              <w:t xml:space="preserve">.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w:t>
            </w:r>
          </w:p>
          <w:p w:rsidR="00B24FE4" w:rsidRPr="00B24FE4" w:rsidRDefault="00B24FE4" w:rsidP="00B24FE4">
            <w:pPr>
              <w:rPr>
                <w:rFonts w:ascii="Arial" w:hAnsi="Arial" w:cs="Arial"/>
                <w:i/>
                <w:sz w:val="22"/>
                <w:szCs w:val="22"/>
              </w:rPr>
            </w:pPr>
            <w:r w:rsidRPr="00B24FE4">
              <w:rPr>
                <w:rFonts w:ascii="Arial" w:hAnsi="Arial" w:cs="Arial"/>
                <w:i/>
                <w:sz w:val="22"/>
                <w:szCs w:val="22"/>
              </w:rPr>
              <w:t>Para tal efecto, el sujeto obligado deberá acreditar lo siguiente:</w:t>
            </w:r>
          </w:p>
          <w:p w:rsidR="00B24FE4" w:rsidRPr="00B24FE4" w:rsidRDefault="00B24FE4" w:rsidP="00B24FE4">
            <w:pPr>
              <w:numPr>
                <w:ilvl w:val="0"/>
                <w:numId w:val="13"/>
              </w:numPr>
              <w:rPr>
                <w:rFonts w:ascii="Arial" w:hAnsi="Arial" w:cs="Arial"/>
                <w:i/>
                <w:sz w:val="22"/>
                <w:szCs w:val="22"/>
              </w:rPr>
            </w:pPr>
            <w:r w:rsidRPr="00B24FE4">
              <w:rPr>
                <w:rFonts w:ascii="Arial" w:hAnsi="Arial" w:cs="Arial"/>
                <w:i/>
                <w:sz w:val="22"/>
                <w:szCs w:val="22"/>
              </w:rPr>
              <w:t xml:space="preserve">La existencia de un proceso deliberativo en curso, precisando la fecha de inicio; </w:t>
            </w:r>
          </w:p>
          <w:p w:rsidR="00B24FE4" w:rsidRPr="00B24FE4" w:rsidRDefault="00B24FE4" w:rsidP="00B24FE4">
            <w:pPr>
              <w:numPr>
                <w:ilvl w:val="0"/>
                <w:numId w:val="13"/>
              </w:numPr>
              <w:rPr>
                <w:rFonts w:ascii="Arial" w:hAnsi="Arial" w:cs="Arial"/>
                <w:i/>
                <w:sz w:val="22"/>
                <w:szCs w:val="22"/>
              </w:rPr>
            </w:pPr>
            <w:r w:rsidRPr="00B24FE4">
              <w:rPr>
                <w:rFonts w:ascii="Arial" w:hAnsi="Arial" w:cs="Arial"/>
                <w:i/>
                <w:sz w:val="22"/>
                <w:szCs w:val="22"/>
              </w:rPr>
              <w:t xml:space="preserve"> Que la información consista en opiniones, recomendaciones o puntos de vista de los servidores públicos que participan en el proceso deliberativo; </w:t>
            </w:r>
          </w:p>
          <w:p w:rsidR="00B24FE4" w:rsidRPr="00B24FE4" w:rsidRDefault="00B24FE4" w:rsidP="00B24FE4">
            <w:pPr>
              <w:numPr>
                <w:ilvl w:val="0"/>
                <w:numId w:val="13"/>
              </w:numPr>
              <w:rPr>
                <w:rFonts w:ascii="Arial" w:hAnsi="Arial" w:cs="Arial"/>
                <w:i/>
                <w:sz w:val="22"/>
                <w:szCs w:val="22"/>
              </w:rPr>
            </w:pPr>
            <w:r w:rsidRPr="00B24FE4">
              <w:rPr>
                <w:rFonts w:ascii="Arial" w:hAnsi="Arial" w:cs="Arial"/>
                <w:i/>
                <w:sz w:val="22"/>
                <w:szCs w:val="22"/>
              </w:rPr>
              <w:t xml:space="preserve">Que la información se encuentre relacionada, de manera directa, con el proceso deliberativo, y </w:t>
            </w:r>
          </w:p>
          <w:p w:rsidR="00B24FE4" w:rsidRPr="00B24FE4" w:rsidRDefault="00B24FE4" w:rsidP="00B24FE4">
            <w:pPr>
              <w:numPr>
                <w:ilvl w:val="0"/>
                <w:numId w:val="13"/>
              </w:numPr>
              <w:rPr>
                <w:rFonts w:ascii="Arial" w:hAnsi="Arial" w:cs="Arial"/>
                <w:i/>
                <w:sz w:val="22"/>
                <w:szCs w:val="22"/>
              </w:rPr>
            </w:pPr>
            <w:r w:rsidRPr="00B24FE4">
              <w:rPr>
                <w:rFonts w:ascii="Arial" w:hAnsi="Arial" w:cs="Arial"/>
                <w:i/>
                <w:sz w:val="22"/>
                <w:szCs w:val="22"/>
              </w:rPr>
              <w:t xml:space="preserve">Que con su difusión se pueda llegar a interrumpir, menoscabar o inhibir el diseño, negociación, determinación o implementación de los asuntos sometidos a deliberación. 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Se considera concluido el proceso deliberativo cuando se adopte de manera concluyente la última determinación, sea o no susceptible de ejecución; cuando el proceso haya quedado sin materia, o cuando por cualquier causa no sea posible continuar con su desarrollo. En el caso de que la solicitud de acceso se turne a un área distinta de la responsable de tomar la decisión definitiva y se desconozca si ésta ha sido adoptada, el área receptora deberá consultar a la responsable, a efecto de determinar si es procedente </w:t>
            </w:r>
            <w:r w:rsidRPr="00B24FE4">
              <w:rPr>
                <w:rFonts w:ascii="Arial" w:hAnsi="Arial" w:cs="Arial"/>
                <w:i/>
                <w:sz w:val="22"/>
                <w:szCs w:val="22"/>
              </w:rPr>
              <w:lastRenderedPageBreak/>
              <w:t xml:space="preserve">otorgar el acceso a la información solicitada. En estos casos, no se interrumpirá el plazo para dar respuesta a la solicitud de información. 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 </w:t>
            </w:r>
          </w:p>
          <w:p w:rsidR="00B24FE4" w:rsidRPr="00B24FE4" w:rsidRDefault="00B24FE4" w:rsidP="00B24FE4">
            <w:pPr>
              <w:ind w:left="60"/>
              <w:rPr>
                <w:rFonts w:ascii="Arial" w:hAnsi="Arial" w:cs="Arial"/>
                <w:i/>
                <w:sz w:val="22"/>
                <w:szCs w:val="22"/>
              </w:rPr>
            </w:pPr>
            <w:r w:rsidRPr="00B24FE4">
              <w:rPr>
                <w:rFonts w:ascii="Arial" w:hAnsi="Arial" w:cs="Arial"/>
                <w:b/>
                <w:i/>
                <w:sz w:val="22"/>
                <w:szCs w:val="22"/>
              </w:rPr>
              <w:t>Vigésimo octavo</w:t>
            </w:r>
            <w:r w:rsidRPr="00B24FE4">
              <w:rPr>
                <w:rFonts w:ascii="Arial" w:hAnsi="Arial" w:cs="Arial"/>
                <w:i/>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rsidR="00B24FE4" w:rsidRPr="00B24FE4" w:rsidRDefault="00B24FE4" w:rsidP="00B24FE4">
            <w:pPr>
              <w:numPr>
                <w:ilvl w:val="0"/>
                <w:numId w:val="15"/>
              </w:numPr>
              <w:rPr>
                <w:rFonts w:ascii="Arial" w:hAnsi="Arial" w:cs="Arial"/>
                <w:i/>
                <w:sz w:val="22"/>
                <w:szCs w:val="22"/>
              </w:rPr>
            </w:pPr>
            <w:r w:rsidRPr="00B24FE4">
              <w:rPr>
                <w:rFonts w:ascii="Arial" w:hAnsi="Arial" w:cs="Arial"/>
                <w:i/>
                <w:sz w:val="22"/>
                <w:szCs w:val="22"/>
              </w:rPr>
              <w:t xml:space="preserve">La existencia de un procedimiento de responsabilidad administrativa en trámite, y </w:t>
            </w:r>
          </w:p>
          <w:p w:rsidR="00B24FE4" w:rsidRPr="00B24FE4" w:rsidRDefault="00B24FE4" w:rsidP="00B24FE4">
            <w:pPr>
              <w:numPr>
                <w:ilvl w:val="0"/>
                <w:numId w:val="15"/>
              </w:numPr>
              <w:rPr>
                <w:rFonts w:ascii="Arial" w:hAnsi="Arial" w:cs="Arial"/>
                <w:i/>
                <w:sz w:val="22"/>
                <w:szCs w:val="22"/>
              </w:rPr>
            </w:pPr>
            <w:r w:rsidRPr="00B24FE4">
              <w:rPr>
                <w:rFonts w:ascii="Arial" w:hAnsi="Arial" w:cs="Arial"/>
                <w:i/>
                <w:sz w:val="22"/>
                <w:szCs w:val="22"/>
              </w:rPr>
              <w:t xml:space="preserve">Que la información se refiera a actuaciones, diligencias y constancias propias del procedimiento de responsabilidad. </w:t>
            </w:r>
          </w:p>
          <w:p w:rsidR="00B24FE4" w:rsidRPr="00B24FE4" w:rsidRDefault="00B24FE4" w:rsidP="00B24FE4">
            <w:pPr>
              <w:ind w:left="60"/>
              <w:rPr>
                <w:rFonts w:ascii="Arial" w:hAnsi="Arial" w:cs="Arial"/>
                <w:i/>
                <w:sz w:val="22"/>
                <w:szCs w:val="22"/>
              </w:rPr>
            </w:pPr>
            <w:r w:rsidRPr="00B24FE4">
              <w:rPr>
                <w:rFonts w:ascii="Arial" w:hAnsi="Arial" w:cs="Arial"/>
                <w:b/>
                <w:i/>
                <w:sz w:val="22"/>
                <w:szCs w:val="22"/>
              </w:rPr>
              <w:t>Vigésimo noveno</w:t>
            </w:r>
            <w:r w:rsidRPr="00B24FE4">
              <w:rPr>
                <w:rFonts w:ascii="Arial" w:hAnsi="Arial" w:cs="Arial"/>
                <w:i/>
                <w:sz w:val="22"/>
                <w:szCs w:val="22"/>
              </w:rPr>
              <w:t xml:space="preserve">. De conformidad con el artículo 113, fracción X de la Ley General, podrá considerarse como información reservada, aquella que de divulgarse afecte el debido proceso al actualizarse los siguientes elementos: </w:t>
            </w:r>
          </w:p>
          <w:p w:rsidR="00B24FE4" w:rsidRPr="00B24FE4" w:rsidRDefault="00B24FE4" w:rsidP="00B24FE4">
            <w:pPr>
              <w:numPr>
                <w:ilvl w:val="0"/>
                <w:numId w:val="14"/>
              </w:numPr>
              <w:rPr>
                <w:rFonts w:ascii="Arial" w:hAnsi="Arial" w:cs="Arial"/>
                <w:i/>
                <w:sz w:val="22"/>
                <w:szCs w:val="22"/>
              </w:rPr>
            </w:pPr>
            <w:r w:rsidRPr="00B24FE4">
              <w:rPr>
                <w:rFonts w:ascii="Arial" w:hAnsi="Arial" w:cs="Arial"/>
                <w:i/>
                <w:sz w:val="22"/>
                <w:szCs w:val="22"/>
              </w:rPr>
              <w:t xml:space="preserve">La existencia de un procedimiento judicial, administrativo o arbitral en trámite; </w:t>
            </w:r>
          </w:p>
          <w:p w:rsidR="00B24FE4" w:rsidRPr="00B24FE4" w:rsidRDefault="00B24FE4" w:rsidP="00B24FE4">
            <w:pPr>
              <w:numPr>
                <w:ilvl w:val="0"/>
                <w:numId w:val="14"/>
              </w:numPr>
              <w:rPr>
                <w:rFonts w:ascii="Arial" w:hAnsi="Arial" w:cs="Arial"/>
                <w:i/>
                <w:sz w:val="22"/>
                <w:szCs w:val="22"/>
              </w:rPr>
            </w:pPr>
            <w:r w:rsidRPr="00B24FE4">
              <w:rPr>
                <w:rFonts w:ascii="Arial" w:hAnsi="Arial" w:cs="Arial"/>
                <w:i/>
                <w:sz w:val="22"/>
                <w:szCs w:val="22"/>
              </w:rPr>
              <w:t xml:space="preserve">Que el sujeto obligado sea parte en ese procedimiento; </w:t>
            </w:r>
          </w:p>
          <w:p w:rsidR="00B24FE4" w:rsidRPr="00B24FE4" w:rsidRDefault="00B24FE4" w:rsidP="00B24FE4">
            <w:pPr>
              <w:numPr>
                <w:ilvl w:val="0"/>
                <w:numId w:val="14"/>
              </w:numPr>
              <w:rPr>
                <w:rFonts w:ascii="Arial" w:hAnsi="Arial" w:cs="Arial"/>
                <w:i/>
                <w:sz w:val="22"/>
                <w:szCs w:val="22"/>
              </w:rPr>
            </w:pPr>
            <w:r w:rsidRPr="00B24FE4">
              <w:rPr>
                <w:rFonts w:ascii="Arial" w:hAnsi="Arial" w:cs="Arial"/>
                <w:i/>
                <w:sz w:val="22"/>
                <w:szCs w:val="22"/>
              </w:rPr>
              <w:t xml:space="preserve">Que la información no sea conocida por la contraparte antes de la presentación de la misma en el proceso, y </w:t>
            </w:r>
          </w:p>
          <w:p w:rsidR="00B24FE4" w:rsidRPr="00B24FE4" w:rsidRDefault="00B24FE4" w:rsidP="00B24FE4">
            <w:pPr>
              <w:numPr>
                <w:ilvl w:val="0"/>
                <w:numId w:val="14"/>
              </w:numPr>
              <w:rPr>
                <w:rFonts w:ascii="Arial" w:hAnsi="Arial" w:cs="Arial"/>
                <w:i/>
                <w:sz w:val="22"/>
                <w:szCs w:val="22"/>
              </w:rPr>
            </w:pPr>
            <w:r w:rsidRPr="00B24FE4">
              <w:rPr>
                <w:rFonts w:ascii="Arial" w:hAnsi="Arial" w:cs="Arial"/>
                <w:i/>
                <w:sz w:val="22"/>
                <w:szCs w:val="22"/>
              </w:rPr>
              <w:t xml:space="preserve">Que con su divulgación se afecte la oportunidad de llevar a cabo </w:t>
            </w:r>
            <w:proofErr w:type="gramStart"/>
            <w:r w:rsidRPr="00B24FE4">
              <w:rPr>
                <w:rFonts w:ascii="Arial" w:hAnsi="Arial" w:cs="Arial"/>
                <w:i/>
                <w:sz w:val="22"/>
                <w:szCs w:val="22"/>
              </w:rPr>
              <w:t>alguna</w:t>
            </w:r>
            <w:proofErr w:type="gramEnd"/>
            <w:r w:rsidRPr="00B24FE4">
              <w:rPr>
                <w:rFonts w:ascii="Arial" w:hAnsi="Arial" w:cs="Arial"/>
                <w:i/>
                <w:sz w:val="22"/>
                <w:szCs w:val="22"/>
              </w:rPr>
              <w:t xml:space="preserve"> de las garantías del debido proceso. </w:t>
            </w:r>
          </w:p>
          <w:p w:rsidR="00B24FE4" w:rsidRPr="00B24FE4" w:rsidRDefault="00B24FE4" w:rsidP="00B24FE4">
            <w:pPr>
              <w:rPr>
                <w:rFonts w:ascii="Arial" w:hAnsi="Arial" w:cs="Arial"/>
                <w:i/>
                <w:sz w:val="22"/>
                <w:szCs w:val="22"/>
              </w:rPr>
            </w:pPr>
            <w:r w:rsidRPr="00B24FE4">
              <w:rPr>
                <w:rFonts w:ascii="Arial" w:hAnsi="Arial" w:cs="Arial"/>
                <w:b/>
                <w:i/>
                <w:sz w:val="22"/>
                <w:szCs w:val="22"/>
              </w:rPr>
              <w:t>Trigésimo.</w:t>
            </w:r>
            <w:r w:rsidRPr="00B24FE4">
              <w:rPr>
                <w:rFonts w:ascii="Arial" w:hAnsi="Arial" w:cs="Arial"/>
                <w:i/>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B24FE4" w:rsidRPr="00B24FE4" w:rsidRDefault="00B24FE4" w:rsidP="00B24FE4">
            <w:pPr>
              <w:numPr>
                <w:ilvl w:val="0"/>
                <w:numId w:val="16"/>
              </w:numPr>
              <w:rPr>
                <w:rFonts w:ascii="Arial" w:hAnsi="Arial" w:cs="Arial"/>
                <w:i/>
                <w:sz w:val="22"/>
                <w:szCs w:val="22"/>
              </w:rPr>
            </w:pPr>
            <w:r w:rsidRPr="00B24FE4">
              <w:rPr>
                <w:rFonts w:ascii="Arial" w:hAnsi="Arial" w:cs="Arial"/>
                <w:i/>
                <w:sz w:val="22"/>
                <w:szCs w:val="22"/>
              </w:rPr>
              <w:t xml:space="preserve">La existencia de un juicio o procedimiento administrativo materialmente jurisdiccional, que se encuentre en trámite, y </w:t>
            </w:r>
          </w:p>
          <w:p w:rsidR="00B24FE4" w:rsidRPr="00B24FE4" w:rsidRDefault="00B24FE4" w:rsidP="00B24FE4">
            <w:pPr>
              <w:numPr>
                <w:ilvl w:val="0"/>
                <w:numId w:val="16"/>
              </w:numPr>
              <w:rPr>
                <w:rFonts w:ascii="Arial" w:hAnsi="Arial" w:cs="Arial"/>
                <w:i/>
                <w:sz w:val="22"/>
                <w:szCs w:val="22"/>
              </w:rPr>
            </w:pPr>
            <w:r w:rsidRPr="00B24FE4">
              <w:rPr>
                <w:rFonts w:ascii="Arial" w:hAnsi="Arial" w:cs="Arial"/>
                <w:i/>
                <w:sz w:val="22"/>
                <w:szCs w:val="22"/>
              </w:rPr>
              <w:t xml:space="preserve">Que la información solicitada se refiera a actuaciones, diligencias o constancias propias del procedimiento. Para los efectos del primer párrafo de este numeral, se considera procedimiento seguido en forma de juicio a aquel formalmente administrativo, pero materialmente </w:t>
            </w:r>
            <w:r w:rsidRPr="00B24FE4">
              <w:rPr>
                <w:rFonts w:ascii="Arial" w:hAnsi="Arial" w:cs="Arial"/>
                <w:i/>
                <w:sz w:val="22"/>
                <w:szCs w:val="22"/>
              </w:rPr>
              <w:lastRenderedPageBreak/>
              <w:t xml:space="preserve">jurisdiccional; esto es, en el que concurran los siguientes elementos: </w:t>
            </w:r>
          </w:p>
          <w:p w:rsidR="00B24FE4" w:rsidRPr="00B24FE4" w:rsidRDefault="00B24FE4" w:rsidP="00B24FE4">
            <w:pPr>
              <w:ind w:left="720"/>
              <w:rPr>
                <w:rFonts w:ascii="Arial" w:hAnsi="Arial" w:cs="Arial"/>
                <w:i/>
                <w:sz w:val="22"/>
                <w:szCs w:val="22"/>
              </w:rPr>
            </w:pPr>
            <w:r w:rsidRPr="00B24FE4">
              <w:rPr>
                <w:rFonts w:ascii="Arial" w:hAnsi="Arial" w:cs="Arial"/>
                <w:i/>
                <w:sz w:val="22"/>
                <w:szCs w:val="22"/>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2B53DF" w:rsidRPr="00B24FE4" w:rsidRDefault="00B24FE4" w:rsidP="00B24FE4">
            <w:pPr>
              <w:ind w:left="720"/>
              <w:rPr>
                <w:rFonts w:ascii="Arial" w:hAnsi="Arial" w:cs="Arial"/>
                <w:i/>
                <w:sz w:val="22"/>
                <w:szCs w:val="22"/>
              </w:rPr>
            </w:pPr>
            <w:r w:rsidRPr="00B24FE4">
              <w:rPr>
                <w:rFonts w:ascii="Arial" w:hAnsi="Arial" w:cs="Arial"/>
                <w:i/>
                <w:sz w:val="22"/>
                <w:szCs w:val="22"/>
              </w:rPr>
              <w:t>2. Que se cumplan las formalidades esenciales del procedimiento</w:t>
            </w:r>
          </w:p>
        </w:tc>
      </w:tr>
      <w:tr w:rsidR="00766804" w:rsidRPr="00B24FE4" w:rsidTr="00E550EE">
        <w:tc>
          <w:tcPr>
            <w:tcW w:w="5211" w:type="dxa"/>
          </w:tcPr>
          <w:p w:rsidR="00766804" w:rsidRPr="00B24FE4" w:rsidRDefault="00766804" w:rsidP="006E6122">
            <w:pPr>
              <w:tabs>
                <w:tab w:val="center" w:pos="4419"/>
                <w:tab w:val="right" w:pos="8838"/>
              </w:tabs>
              <w:jc w:val="center"/>
              <w:rPr>
                <w:rFonts w:ascii="Arial" w:hAnsi="Arial" w:cs="Arial"/>
                <w:sz w:val="22"/>
                <w:szCs w:val="22"/>
              </w:rPr>
            </w:pPr>
          </w:p>
          <w:p w:rsidR="00766804" w:rsidRPr="00B24FE4" w:rsidRDefault="00766804"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Razones y motivos de la clasificación </w:t>
            </w:r>
          </w:p>
          <w:p w:rsidR="00766804" w:rsidRPr="00B24FE4" w:rsidRDefault="00766804" w:rsidP="006E6122">
            <w:pPr>
              <w:tabs>
                <w:tab w:val="center" w:pos="4419"/>
                <w:tab w:val="right" w:pos="8838"/>
              </w:tabs>
              <w:jc w:val="center"/>
              <w:rPr>
                <w:rFonts w:ascii="Arial" w:hAnsi="Arial" w:cs="Arial"/>
                <w:sz w:val="22"/>
                <w:szCs w:val="22"/>
              </w:rPr>
            </w:pPr>
          </w:p>
        </w:tc>
        <w:tc>
          <w:tcPr>
            <w:tcW w:w="8080" w:type="dxa"/>
          </w:tcPr>
          <w:p w:rsidR="00766804" w:rsidRPr="00B24FE4" w:rsidRDefault="00766804" w:rsidP="00383422">
            <w:pPr>
              <w:rPr>
                <w:rFonts w:ascii="Arial" w:hAnsi="Arial" w:cs="Arial"/>
                <w:sz w:val="22"/>
                <w:szCs w:val="22"/>
              </w:rPr>
            </w:pPr>
            <w:r w:rsidRPr="00B24FE4">
              <w:rPr>
                <w:rFonts w:ascii="Arial" w:hAnsi="Arial" w:cs="Arial"/>
                <w:sz w:val="22"/>
                <w:szCs w:val="22"/>
              </w:rPr>
              <w:t xml:space="preserve">El pasado primero de noviembre del presente año, mediante Gaceta Oficial del Estado Número Extraordinario 436, se publicó el Decreto Número 349 que aprueba el Informe del Resultado de las Cuentas Públicas de los Entes Fiscalizables del Estado de Veracruz, correspondientes al ejercicio dos mil dieciséis. </w:t>
            </w:r>
          </w:p>
          <w:p w:rsidR="00766804" w:rsidRPr="00B24FE4" w:rsidRDefault="00766804" w:rsidP="00383422">
            <w:pPr>
              <w:rPr>
                <w:rFonts w:ascii="Arial" w:hAnsi="Arial" w:cs="Arial"/>
                <w:sz w:val="22"/>
                <w:szCs w:val="22"/>
              </w:rPr>
            </w:pPr>
            <w:r w:rsidRPr="00B24FE4">
              <w:rPr>
                <w:rFonts w:ascii="Arial" w:hAnsi="Arial" w:cs="Arial"/>
                <w:sz w:val="22"/>
                <w:szCs w:val="22"/>
              </w:rPr>
              <w:t>En dicho Decreto, se aprueba el dictamen legislativo respecto al análisis del Informe del Resultado de la Fiscalización Superior de la Cuenta Pública 2016 en donde se presentan los siguientes supuestos:</w:t>
            </w:r>
          </w:p>
          <w:p w:rsidR="00766804" w:rsidRPr="00B24FE4" w:rsidRDefault="00766804" w:rsidP="00766804">
            <w:pPr>
              <w:numPr>
                <w:ilvl w:val="0"/>
                <w:numId w:val="12"/>
              </w:numPr>
              <w:rPr>
                <w:rFonts w:ascii="Arial" w:hAnsi="Arial" w:cs="Arial"/>
                <w:sz w:val="22"/>
                <w:szCs w:val="22"/>
              </w:rPr>
            </w:pPr>
            <w:r w:rsidRPr="00B24FE4">
              <w:rPr>
                <w:rFonts w:ascii="Arial" w:hAnsi="Arial" w:cs="Arial"/>
                <w:sz w:val="22"/>
                <w:szCs w:val="22"/>
              </w:rPr>
              <w:t>Entes en los que no se detectaron irregularidades de carácter resarcitorio que hagan presumir la existencia de daño patrimonial ni inconsistencias de carácter administrativo;-</w:t>
            </w:r>
          </w:p>
          <w:p w:rsidR="00766804" w:rsidRPr="00B24FE4" w:rsidRDefault="00766804" w:rsidP="00766804">
            <w:pPr>
              <w:numPr>
                <w:ilvl w:val="0"/>
                <w:numId w:val="12"/>
              </w:numPr>
              <w:rPr>
                <w:rFonts w:ascii="Arial" w:hAnsi="Arial" w:cs="Arial"/>
                <w:sz w:val="22"/>
                <w:szCs w:val="22"/>
              </w:rPr>
            </w:pPr>
            <w:r w:rsidRPr="00B24FE4">
              <w:rPr>
                <w:rFonts w:ascii="Arial" w:hAnsi="Arial" w:cs="Arial"/>
                <w:sz w:val="22"/>
                <w:szCs w:val="22"/>
              </w:rPr>
              <w:t xml:space="preserve">Entes en los que no se detectaron irregularidades de carácter resarcitorio que hagan presumir la existencia de daño patrimonial, pero sí inconsistencias de carácter administrativo que dieron lugar a recomendaciones. </w:t>
            </w:r>
          </w:p>
          <w:p w:rsidR="00766804" w:rsidRPr="00B24FE4" w:rsidRDefault="00766804" w:rsidP="00766804">
            <w:pPr>
              <w:numPr>
                <w:ilvl w:val="0"/>
                <w:numId w:val="12"/>
              </w:numPr>
              <w:rPr>
                <w:rFonts w:ascii="Arial" w:hAnsi="Arial" w:cs="Arial"/>
                <w:sz w:val="22"/>
                <w:szCs w:val="22"/>
              </w:rPr>
            </w:pPr>
            <w:r w:rsidRPr="00B24FE4">
              <w:rPr>
                <w:rFonts w:ascii="Arial" w:hAnsi="Arial" w:cs="Arial"/>
                <w:sz w:val="22"/>
                <w:szCs w:val="22"/>
              </w:rPr>
              <w:t>Entes en los que no se detectaron irregularidades de carácter resarcitorio que hagan presumir la existencia de daño patrimonial, pero sí inconsistencias de carácter administrativo que dieron lugar a observaciones y recomendaciones.</w:t>
            </w:r>
          </w:p>
          <w:p w:rsidR="00766804" w:rsidRPr="00B24FE4" w:rsidRDefault="00766804" w:rsidP="00766804">
            <w:pPr>
              <w:numPr>
                <w:ilvl w:val="0"/>
                <w:numId w:val="12"/>
              </w:numPr>
              <w:rPr>
                <w:rFonts w:ascii="Arial" w:hAnsi="Arial" w:cs="Arial"/>
                <w:sz w:val="22"/>
                <w:szCs w:val="22"/>
              </w:rPr>
            </w:pPr>
            <w:r w:rsidRPr="00B24FE4">
              <w:rPr>
                <w:rFonts w:ascii="Arial" w:hAnsi="Arial" w:cs="Arial"/>
                <w:sz w:val="22"/>
                <w:szCs w:val="22"/>
              </w:rPr>
              <w:t xml:space="preserve">Entes en los que se detectaron irregularidades de carácter resarcitorio que hacen presumir la existencia de daño patrimonial, además de inconsistencias de carácter administrativo que dieron lugar a observaciones y recomendaciones. </w:t>
            </w:r>
          </w:p>
          <w:p w:rsidR="00766804" w:rsidRPr="00B24FE4" w:rsidRDefault="00766804" w:rsidP="00766804">
            <w:pPr>
              <w:ind w:left="720"/>
              <w:rPr>
                <w:rFonts w:ascii="Arial" w:hAnsi="Arial" w:cs="Arial"/>
                <w:sz w:val="22"/>
                <w:szCs w:val="22"/>
              </w:rPr>
            </w:pPr>
          </w:p>
          <w:p w:rsidR="00766804" w:rsidRPr="00B24FE4" w:rsidRDefault="00766804" w:rsidP="00383422">
            <w:pPr>
              <w:rPr>
                <w:rFonts w:ascii="Arial" w:hAnsi="Arial" w:cs="Arial"/>
                <w:sz w:val="22"/>
                <w:szCs w:val="22"/>
              </w:rPr>
            </w:pPr>
            <w:r w:rsidRPr="00B24FE4">
              <w:rPr>
                <w:rFonts w:ascii="Arial" w:hAnsi="Arial" w:cs="Arial"/>
                <w:sz w:val="22"/>
                <w:szCs w:val="22"/>
              </w:rPr>
              <w:t xml:space="preserve">De este modo, respecto a los Entes en los que se detectaron irregularidades de carácter resarcitorio que hacen presumir la existencia de daño patrimonial, el Congreso del Estado instruye al Órgano de Fiscalización Superior del Estado para que incoe la Segunda Fase del Procedimiento de Fiscalización Superior, mediante el Procedimiento para la </w:t>
            </w:r>
            <w:r w:rsidRPr="00B24FE4">
              <w:rPr>
                <w:rFonts w:ascii="Arial" w:hAnsi="Arial" w:cs="Arial"/>
                <w:i/>
                <w:sz w:val="22"/>
                <w:szCs w:val="22"/>
              </w:rPr>
              <w:t xml:space="preserve">Determinación de Responsabilidades y </w:t>
            </w:r>
            <w:proofErr w:type="spellStart"/>
            <w:r w:rsidRPr="00B24FE4">
              <w:rPr>
                <w:rFonts w:ascii="Arial" w:hAnsi="Arial" w:cs="Arial"/>
                <w:i/>
                <w:sz w:val="22"/>
                <w:szCs w:val="22"/>
              </w:rPr>
              <w:t>Fincamiento</w:t>
            </w:r>
            <w:proofErr w:type="spellEnd"/>
            <w:r w:rsidRPr="00B24FE4">
              <w:rPr>
                <w:rFonts w:ascii="Arial" w:hAnsi="Arial" w:cs="Arial"/>
                <w:i/>
                <w:sz w:val="22"/>
                <w:szCs w:val="22"/>
              </w:rPr>
              <w:t xml:space="preserve"> de Indemnizaciones y Sanciones</w:t>
            </w:r>
            <w:r w:rsidRPr="00B24FE4">
              <w:rPr>
                <w:rFonts w:ascii="Arial" w:hAnsi="Arial" w:cs="Arial"/>
                <w:sz w:val="22"/>
                <w:szCs w:val="22"/>
              </w:rPr>
              <w:t xml:space="preserve"> a que haya lugar.</w:t>
            </w:r>
          </w:p>
          <w:p w:rsidR="00766804" w:rsidRPr="00B24FE4" w:rsidRDefault="00766804" w:rsidP="00383422">
            <w:pPr>
              <w:rPr>
                <w:rFonts w:ascii="Arial" w:hAnsi="Arial" w:cs="Arial"/>
                <w:sz w:val="22"/>
                <w:szCs w:val="22"/>
              </w:rPr>
            </w:pPr>
          </w:p>
          <w:p w:rsidR="00766804" w:rsidRPr="00B24FE4" w:rsidRDefault="00766804" w:rsidP="00383422">
            <w:pPr>
              <w:rPr>
                <w:rFonts w:ascii="Arial" w:hAnsi="Arial" w:cs="Arial"/>
                <w:sz w:val="22"/>
                <w:szCs w:val="22"/>
              </w:rPr>
            </w:pPr>
            <w:r w:rsidRPr="00B24FE4">
              <w:rPr>
                <w:rFonts w:ascii="Arial" w:hAnsi="Arial" w:cs="Arial"/>
                <w:sz w:val="22"/>
                <w:szCs w:val="22"/>
              </w:rPr>
              <w:lastRenderedPageBreak/>
              <w:t xml:space="preserve">Dicho procedimiento se encuentra regulado en los artículos 42 fracción II, 52, 53, 54, 55, 56, 57, 58 y 59 de la Ley Número 584 de Fiscalización Superior y Rendición de Cuentas para el Estado de Veracruz de Ignacio de la Llave. </w:t>
            </w:r>
          </w:p>
          <w:p w:rsidR="00766804" w:rsidRPr="00B24FE4" w:rsidRDefault="00766804" w:rsidP="00383422">
            <w:pPr>
              <w:rPr>
                <w:rFonts w:ascii="Arial" w:hAnsi="Arial" w:cs="Arial"/>
                <w:sz w:val="22"/>
                <w:szCs w:val="22"/>
              </w:rPr>
            </w:pPr>
            <w:r w:rsidRPr="00B24FE4">
              <w:rPr>
                <w:rFonts w:ascii="Arial" w:hAnsi="Arial" w:cs="Arial"/>
                <w:sz w:val="22"/>
                <w:szCs w:val="22"/>
              </w:rPr>
              <w:t xml:space="preserve">Durante dicho procedimiento se deberá dar el derecho de Audiencia a los servidores y ex servidores públicos involucrados y agotar el debido proceso hasta generar una resolución, misma que pueden impugnar a través del recurso de reconsideración, razón por la cual se motiva la clasificación parcial de los expedientes de los Entes Fiscalizables señalados en el anexo de este Acuerdo. </w:t>
            </w:r>
          </w:p>
          <w:p w:rsidR="00766804" w:rsidRPr="00B24FE4" w:rsidRDefault="00766804" w:rsidP="00383422">
            <w:pPr>
              <w:rPr>
                <w:rFonts w:ascii="Arial" w:hAnsi="Arial" w:cs="Arial"/>
                <w:sz w:val="22"/>
                <w:szCs w:val="22"/>
              </w:rPr>
            </w:pPr>
          </w:p>
          <w:p w:rsidR="00766804" w:rsidRPr="00B24FE4" w:rsidRDefault="00766804" w:rsidP="00766804">
            <w:pPr>
              <w:rPr>
                <w:rFonts w:ascii="Arial" w:hAnsi="Arial" w:cs="Arial"/>
                <w:b/>
                <w:sz w:val="22"/>
                <w:szCs w:val="22"/>
              </w:rPr>
            </w:pPr>
            <w:r w:rsidRPr="00B24FE4">
              <w:rPr>
                <w:rFonts w:ascii="Arial" w:hAnsi="Arial" w:cs="Arial"/>
                <w:b/>
                <w:sz w:val="22"/>
                <w:szCs w:val="22"/>
              </w:rPr>
              <w:t>Supuesto del Artículo 70 fracción I</w:t>
            </w:r>
          </w:p>
          <w:p w:rsidR="00766804" w:rsidRPr="00B24FE4" w:rsidRDefault="00766804" w:rsidP="00383422">
            <w:pPr>
              <w:rPr>
                <w:rFonts w:ascii="Arial" w:hAnsi="Arial" w:cs="Arial"/>
                <w:sz w:val="22"/>
                <w:szCs w:val="22"/>
              </w:rPr>
            </w:pPr>
            <w:r w:rsidRPr="00B24FE4">
              <w:rPr>
                <w:rFonts w:ascii="Arial" w:hAnsi="Arial" w:cs="Arial"/>
                <w:sz w:val="22"/>
                <w:szCs w:val="22"/>
              </w:rPr>
              <w:t>De los argumentos expuestos en el renglón que precede se advierte que corresponden legítimamente a la hipótesis contenidas en el artículo 113 fracciones VII, VIII, IX, X y XI de la Ley General de Transparencia y Acceso a la Información Pública, así como el artículo 68 fracciones III, IV, V, VI, y VII de la Ley Número 875 de Transparencia y Acceso a la Información Pública para el Estado de Veracruz de Ignacio de la Llave y numerales vigésimo sexto, vigésimo octavo, vigésimo noveno y trigésimo de Lineamientos Generales en materia de Clasificación y Desclasificación de la Información, así como para la Elaboración de Versiones Públicas.</w:t>
            </w:r>
          </w:p>
          <w:p w:rsidR="00766804" w:rsidRPr="00B24FE4" w:rsidRDefault="00766804" w:rsidP="00383422">
            <w:pPr>
              <w:rPr>
                <w:rFonts w:ascii="Arial" w:hAnsi="Arial" w:cs="Arial"/>
                <w:sz w:val="22"/>
                <w:szCs w:val="22"/>
              </w:rPr>
            </w:pPr>
          </w:p>
          <w:p w:rsidR="00766804" w:rsidRPr="00B24FE4" w:rsidRDefault="00766804" w:rsidP="00766804">
            <w:pPr>
              <w:rPr>
                <w:rFonts w:ascii="Arial" w:hAnsi="Arial" w:cs="Arial"/>
                <w:b/>
                <w:sz w:val="22"/>
                <w:szCs w:val="22"/>
              </w:rPr>
            </w:pPr>
            <w:r w:rsidRPr="00B24FE4">
              <w:rPr>
                <w:rFonts w:ascii="Arial" w:hAnsi="Arial" w:cs="Arial"/>
                <w:b/>
                <w:sz w:val="22"/>
                <w:szCs w:val="22"/>
              </w:rPr>
              <w:t>Supuesto del Artículo 70 fracción II</w:t>
            </w:r>
          </w:p>
          <w:p w:rsidR="00766804" w:rsidRPr="00B24FE4" w:rsidRDefault="00766804" w:rsidP="00383422">
            <w:pPr>
              <w:rPr>
                <w:rFonts w:ascii="Arial" w:hAnsi="Arial" w:cs="Arial"/>
                <w:sz w:val="22"/>
                <w:szCs w:val="22"/>
              </w:rPr>
            </w:pPr>
            <w:r w:rsidRPr="00B24FE4">
              <w:rPr>
                <w:rFonts w:ascii="Arial" w:hAnsi="Arial" w:cs="Arial"/>
                <w:sz w:val="22"/>
                <w:szCs w:val="22"/>
              </w:rPr>
              <w:t xml:space="preserve">El interés protegido es el cumplimiento del procedimiento de fiscalización superior en la Segunda Fase de </w:t>
            </w:r>
            <w:r w:rsidRPr="00B24FE4">
              <w:rPr>
                <w:rFonts w:ascii="Arial" w:hAnsi="Arial" w:cs="Arial"/>
                <w:i/>
                <w:sz w:val="22"/>
                <w:szCs w:val="22"/>
              </w:rPr>
              <w:t xml:space="preserve">Determinación de Responsabilidades y </w:t>
            </w:r>
            <w:proofErr w:type="spellStart"/>
            <w:r w:rsidRPr="00B24FE4">
              <w:rPr>
                <w:rFonts w:ascii="Arial" w:hAnsi="Arial" w:cs="Arial"/>
                <w:i/>
                <w:sz w:val="22"/>
                <w:szCs w:val="22"/>
              </w:rPr>
              <w:t>Fincamiento</w:t>
            </w:r>
            <w:proofErr w:type="spellEnd"/>
            <w:r w:rsidRPr="00B24FE4">
              <w:rPr>
                <w:rFonts w:ascii="Arial" w:hAnsi="Arial" w:cs="Arial"/>
                <w:i/>
                <w:sz w:val="22"/>
                <w:szCs w:val="22"/>
              </w:rPr>
              <w:t xml:space="preserve"> de Indemnizaciones y Sanciones</w:t>
            </w:r>
            <w:r w:rsidRPr="00B24FE4">
              <w:rPr>
                <w:rFonts w:ascii="Arial" w:hAnsi="Arial" w:cs="Arial"/>
                <w:sz w:val="22"/>
                <w:szCs w:val="22"/>
              </w:rPr>
              <w:t>, mismo que se regula en la Ley Número 584 de Fiscalización Superior y Rendición de Cuentas para el Estado de Veracruz de Ignacio de la Llave</w:t>
            </w:r>
          </w:p>
          <w:p w:rsidR="00766804" w:rsidRPr="00B24FE4" w:rsidRDefault="00766804" w:rsidP="00383422">
            <w:pPr>
              <w:rPr>
                <w:rFonts w:ascii="Arial" w:hAnsi="Arial" w:cs="Arial"/>
                <w:sz w:val="22"/>
                <w:szCs w:val="22"/>
              </w:rPr>
            </w:pPr>
          </w:p>
          <w:p w:rsidR="00766804" w:rsidRPr="00B24FE4" w:rsidRDefault="00766804" w:rsidP="00766804">
            <w:pPr>
              <w:rPr>
                <w:rFonts w:ascii="Arial" w:hAnsi="Arial" w:cs="Arial"/>
                <w:b/>
                <w:sz w:val="22"/>
                <w:szCs w:val="22"/>
              </w:rPr>
            </w:pPr>
            <w:r w:rsidRPr="00B24FE4">
              <w:rPr>
                <w:rFonts w:ascii="Arial" w:hAnsi="Arial" w:cs="Arial"/>
                <w:b/>
                <w:sz w:val="22"/>
                <w:szCs w:val="22"/>
              </w:rPr>
              <w:t>Supuesto del Artículo 70 fracción III</w:t>
            </w:r>
          </w:p>
          <w:p w:rsidR="00766804" w:rsidRPr="00B24FE4" w:rsidRDefault="00766804" w:rsidP="00383422">
            <w:pPr>
              <w:rPr>
                <w:rFonts w:ascii="Arial" w:hAnsi="Arial" w:cs="Arial"/>
                <w:sz w:val="22"/>
                <w:szCs w:val="22"/>
              </w:rPr>
            </w:pPr>
            <w:r w:rsidRPr="00B24FE4">
              <w:rPr>
                <w:rFonts w:ascii="Arial" w:hAnsi="Arial" w:cs="Arial"/>
                <w:sz w:val="22"/>
                <w:szCs w:val="22"/>
              </w:rPr>
              <w:t>La entrega total de la información incidiría en el procedimiento que se instruye para fincar responsabilidades y se afectarían los derechos del debido proceso; asimismo, se vulneraría la conducción de los expedientes previo a la emisión de las resoluciones correspondiente, por lo que el interés protegido es mayor al interés público de conocerla.</w:t>
            </w:r>
          </w:p>
        </w:tc>
      </w:tr>
      <w:tr w:rsidR="00766804" w:rsidRPr="00B24FE4" w:rsidTr="00E550EE">
        <w:tc>
          <w:tcPr>
            <w:tcW w:w="5211" w:type="dxa"/>
          </w:tcPr>
          <w:p w:rsidR="00766804" w:rsidRPr="00E372E6" w:rsidRDefault="00766804" w:rsidP="006E6122">
            <w:pPr>
              <w:tabs>
                <w:tab w:val="center" w:pos="4419"/>
                <w:tab w:val="right" w:pos="8838"/>
              </w:tabs>
              <w:jc w:val="center"/>
              <w:rPr>
                <w:rFonts w:ascii="Arial" w:hAnsi="Arial" w:cs="Arial"/>
                <w:sz w:val="22"/>
                <w:szCs w:val="22"/>
              </w:rPr>
            </w:pPr>
          </w:p>
          <w:p w:rsidR="00766804" w:rsidRPr="00E372E6" w:rsidRDefault="00766804" w:rsidP="006E6122">
            <w:pPr>
              <w:tabs>
                <w:tab w:val="center" w:pos="4419"/>
                <w:tab w:val="right" w:pos="8838"/>
              </w:tabs>
              <w:jc w:val="center"/>
              <w:rPr>
                <w:rFonts w:ascii="Arial" w:hAnsi="Arial" w:cs="Arial"/>
                <w:sz w:val="22"/>
                <w:szCs w:val="22"/>
              </w:rPr>
            </w:pPr>
            <w:r w:rsidRPr="00E372E6">
              <w:rPr>
                <w:rFonts w:ascii="Arial" w:hAnsi="Arial" w:cs="Arial"/>
                <w:sz w:val="22"/>
                <w:szCs w:val="22"/>
              </w:rPr>
              <w:t xml:space="preserve">Señalar si se trata de una clasificación completa o parcial </w:t>
            </w:r>
          </w:p>
          <w:p w:rsidR="00766804" w:rsidRPr="00E372E6" w:rsidRDefault="00766804" w:rsidP="006E6122">
            <w:pPr>
              <w:tabs>
                <w:tab w:val="center" w:pos="4419"/>
                <w:tab w:val="right" w:pos="8838"/>
              </w:tabs>
              <w:jc w:val="center"/>
              <w:rPr>
                <w:rFonts w:ascii="Arial" w:hAnsi="Arial" w:cs="Arial"/>
                <w:sz w:val="22"/>
                <w:szCs w:val="22"/>
              </w:rPr>
            </w:pPr>
          </w:p>
        </w:tc>
        <w:tc>
          <w:tcPr>
            <w:tcW w:w="8080" w:type="dxa"/>
          </w:tcPr>
          <w:p w:rsidR="00766804" w:rsidRPr="00E372E6" w:rsidRDefault="00766804" w:rsidP="006E6122">
            <w:pPr>
              <w:tabs>
                <w:tab w:val="center" w:pos="4419"/>
                <w:tab w:val="right" w:pos="8838"/>
              </w:tabs>
              <w:rPr>
                <w:rFonts w:ascii="Arial" w:hAnsi="Arial" w:cs="Arial"/>
                <w:sz w:val="22"/>
                <w:szCs w:val="22"/>
              </w:rPr>
            </w:pPr>
          </w:p>
          <w:p w:rsidR="00766804" w:rsidRPr="00E372E6" w:rsidRDefault="00766804" w:rsidP="006E6122">
            <w:pPr>
              <w:tabs>
                <w:tab w:val="center" w:pos="4419"/>
                <w:tab w:val="right" w:pos="8838"/>
              </w:tabs>
              <w:rPr>
                <w:rFonts w:ascii="Arial" w:hAnsi="Arial" w:cs="Arial"/>
                <w:sz w:val="22"/>
                <w:szCs w:val="22"/>
              </w:rPr>
            </w:pPr>
          </w:p>
          <w:p w:rsidR="00766804" w:rsidRPr="00E372E6" w:rsidRDefault="00766804" w:rsidP="006E6122">
            <w:pPr>
              <w:tabs>
                <w:tab w:val="center" w:pos="4419"/>
                <w:tab w:val="right" w:pos="8838"/>
              </w:tabs>
              <w:rPr>
                <w:rFonts w:ascii="Arial" w:hAnsi="Arial" w:cs="Arial"/>
                <w:sz w:val="22"/>
                <w:szCs w:val="22"/>
              </w:rPr>
            </w:pPr>
            <w:r w:rsidRPr="00E372E6">
              <w:rPr>
                <w:rFonts w:ascii="Arial" w:hAnsi="Arial" w:cs="Arial"/>
                <w:sz w:val="22"/>
                <w:szCs w:val="22"/>
              </w:rPr>
              <w:t>Clasificación completa</w:t>
            </w:r>
          </w:p>
        </w:tc>
      </w:tr>
      <w:tr w:rsidR="00766804" w:rsidRPr="00B24FE4" w:rsidTr="005F47B9">
        <w:tc>
          <w:tcPr>
            <w:tcW w:w="5211" w:type="dxa"/>
          </w:tcPr>
          <w:p w:rsidR="00766804" w:rsidRPr="00B24FE4" w:rsidRDefault="00766804" w:rsidP="002B53DF">
            <w:pPr>
              <w:tabs>
                <w:tab w:val="center" w:pos="4419"/>
                <w:tab w:val="right" w:pos="8838"/>
              </w:tabs>
              <w:jc w:val="center"/>
              <w:rPr>
                <w:rFonts w:ascii="Arial" w:hAnsi="Arial" w:cs="Arial"/>
                <w:sz w:val="22"/>
                <w:szCs w:val="22"/>
              </w:rPr>
            </w:pPr>
            <w:r w:rsidRPr="00B24FE4">
              <w:rPr>
                <w:rFonts w:ascii="Arial" w:hAnsi="Arial" w:cs="Arial"/>
                <w:sz w:val="22"/>
                <w:szCs w:val="22"/>
              </w:rPr>
              <w:lastRenderedPageBreak/>
              <w:t>En caso de ser parcial, las partes del documento que son reservadas</w:t>
            </w:r>
          </w:p>
        </w:tc>
        <w:tc>
          <w:tcPr>
            <w:tcW w:w="8080" w:type="dxa"/>
            <w:shd w:val="clear" w:color="auto" w:fill="A6A6A6" w:themeFill="background1" w:themeFillShade="A6"/>
          </w:tcPr>
          <w:p w:rsidR="00766804" w:rsidRPr="00B24FE4" w:rsidRDefault="00766804" w:rsidP="006E6122">
            <w:pPr>
              <w:tabs>
                <w:tab w:val="center" w:pos="4419"/>
                <w:tab w:val="right" w:pos="8838"/>
              </w:tabs>
              <w:rPr>
                <w:rFonts w:ascii="Arial" w:hAnsi="Arial" w:cs="Arial"/>
                <w:sz w:val="22"/>
                <w:szCs w:val="22"/>
              </w:rPr>
            </w:pPr>
          </w:p>
        </w:tc>
      </w:tr>
      <w:tr w:rsidR="00766804" w:rsidRPr="00B24FE4" w:rsidTr="00824B75">
        <w:tc>
          <w:tcPr>
            <w:tcW w:w="5211" w:type="dxa"/>
          </w:tcPr>
          <w:p w:rsidR="00766804" w:rsidRPr="00B24FE4" w:rsidRDefault="00766804"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En su caso, la fecha del acta en donde el Comité de Transparencia confirmó la clasificación </w:t>
            </w:r>
          </w:p>
          <w:p w:rsidR="00766804" w:rsidRPr="00B24FE4" w:rsidRDefault="00766804" w:rsidP="006E6122">
            <w:pPr>
              <w:tabs>
                <w:tab w:val="center" w:pos="4419"/>
                <w:tab w:val="right" w:pos="8838"/>
              </w:tabs>
              <w:jc w:val="center"/>
              <w:rPr>
                <w:rFonts w:ascii="Arial" w:hAnsi="Arial" w:cs="Arial"/>
                <w:sz w:val="22"/>
                <w:szCs w:val="22"/>
              </w:rPr>
            </w:pPr>
          </w:p>
        </w:tc>
        <w:tc>
          <w:tcPr>
            <w:tcW w:w="8080" w:type="dxa"/>
            <w:shd w:val="clear" w:color="auto" w:fill="auto"/>
          </w:tcPr>
          <w:p w:rsidR="00766804" w:rsidRPr="00B24FE4" w:rsidRDefault="00766804" w:rsidP="006C5F52">
            <w:pPr>
              <w:tabs>
                <w:tab w:val="center" w:pos="4419"/>
                <w:tab w:val="right" w:pos="8838"/>
              </w:tabs>
              <w:rPr>
                <w:rFonts w:ascii="Arial" w:hAnsi="Arial" w:cs="Arial"/>
                <w:sz w:val="22"/>
                <w:szCs w:val="22"/>
              </w:rPr>
            </w:pPr>
          </w:p>
          <w:p w:rsidR="00766804" w:rsidRPr="00B24FE4" w:rsidRDefault="00766804" w:rsidP="00D649CD">
            <w:pPr>
              <w:tabs>
                <w:tab w:val="center" w:pos="4419"/>
                <w:tab w:val="right" w:pos="8838"/>
              </w:tabs>
              <w:rPr>
                <w:rFonts w:ascii="Arial" w:hAnsi="Arial" w:cs="Arial"/>
                <w:sz w:val="22"/>
                <w:szCs w:val="22"/>
              </w:rPr>
            </w:pPr>
            <w:r w:rsidRPr="00B24FE4">
              <w:rPr>
                <w:rFonts w:ascii="Arial" w:hAnsi="Arial" w:cs="Arial"/>
                <w:sz w:val="22"/>
                <w:szCs w:val="22"/>
              </w:rPr>
              <w:t>06 de noviembre de 2017</w:t>
            </w:r>
          </w:p>
        </w:tc>
      </w:tr>
      <w:tr w:rsidR="00766804" w:rsidRPr="00B24FE4" w:rsidTr="00E550EE">
        <w:tc>
          <w:tcPr>
            <w:tcW w:w="5211" w:type="dxa"/>
          </w:tcPr>
          <w:p w:rsidR="00766804" w:rsidRPr="00B24FE4" w:rsidRDefault="00766804" w:rsidP="006E6122">
            <w:pPr>
              <w:tabs>
                <w:tab w:val="center" w:pos="4419"/>
                <w:tab w:val="right" w:pos="8838"/>
              </w:tabs>
              <w:jc w:val="center"/>
              <w:rPr>
                <w:rFonts w:ascii="Arial" w:hAnsi="Arial" w:cs="Arial"/>
                <w:sz w:val="22"/>
                <w:szCs w:val="22"/>
              </w:rPr>
            </w:pPr>
            <w:r w:rsidRPr="00B24FE4">
              <w:rPr>
                <w:rFonts w:ascii="Arial" w:hAnsi="Arial" w:cs="Arial"/>
                <w:sz w:val="22"/>
                <w:szCs w:val="22"/>
              </w:rPr>
              <w:t xml:space="preserve">El plazo de reserva y si se encuentra o no en prórroga </w:t>
            </w:r>
          </w:p>
          <w:p w:rsidR="00766804" w:rsidRPr="00B24FE4" w:rsidRDefault="00766804" w:rsidP="006E6122">
            <w:pPr>
              <w:tabs>
                <w:tab w:val="center" w:pos="4419"/>
                <w:tab w:val="right" w:pos="8838"/>
              </w:tabs>
              <w:jc w:val="center"/>
              <w:rPr>
                <w:rFonts w:ascii="Arial" w:hAnsi="Arial" w:cs="Arial"/>
                <w:sz w:val="22"/>
                <w:szCs w:val="22"/>
              </w:rPr>
            </w:pPr>
          </w:p>
        </w:tc>
        <w:tc>
          <w:tcPr>
            <w:tcW w:w="8080" w:type="dxa"/>
          </w:tcPr>
          <w:p w:rsidR="00766804" w:rsidRPr="00B24FE4" w:rsidRDefault="00766804" w:rsidP="002B53DF">
            <w:pPr>
              <w:tabs>
                <w:tab w:val="center" w:pos="4419"/>
                <w:tab w:val="right" w:pos="8838"/>
              </w:tabs>
              <w:rPr>
                <w:rFonts w:ascii="Arial" w:hAnsi="Arial" w:cs="Arial"/>
                <w:sz w:val="22"/>
                <w:szCs w:val="22"/>
              </w:rPr>
            </w:pPr>
          </w:p>
          <w:p w:rsidR="00766804" w:rsidRPr="00B24FE4" w:rsidRDefault="00766804" w:rsidP="00766804">
            <w:pPr>
              <w:tabs>
                <w:tab w:val="center" w:pos="4419"/>
                <w:tab w:val="right" w:pos="8838"/>
              </w:tabs>
              <w:rPr>
                <w:rFonts w:ascii="Arial" w:hAnsi="Arial" w:cs="Arial"/>
                <w:sz w:val="22"/>
                <w:szCs w:val="22"/>
              </w:rPr>
            </w:pPr>
            <w:r w:rsidRPr="00B24FE4">
              <w:rPr>
                <w:rFonts w:ascii="Arial" w:hAnsi="Arial" w:cs="Arial"/>
                <w:sz w:val="22"/>
                <w:szCs w:val="22"/>
              </w:rPr>
              <w:t>Se reserva por un año</w:t>
            </w:r>
          </w:p>
        </w:tc>
      </w:tr>
      <w:tr w:rsidR="00766804" w:rsidRPr="00B24FE4" w:rsidTr="00E550EE">
        <w:tc>
          <w:tcPr>
            <w:tcW w:w="5211" w:type="dxa"/>
          </w:tcPr>
          <w:p w:rsidR="00766804" w:rsidRPr="00B24FE4" w:rsidRDefault="00766804" w:rsidP="002B53DF">
            <w:pPr>
              <w:tabs>
                <w:tab w:val="center" w:pos="4419"/>
                <w:tab w:val="right" w:pos="8838"/>
              </w:tabs>
              <w:jc w:val="center"/>
              <w:rPr>
                <w:rFonts w:ascii="Arial" w:hAnsi="Arial" w:cs="Arial"/>
                <w:sz w:val="22"/>
                <w:szCs w:val="22"/>
              </w:rPr>
            </w:pPr>
            <w:r w:rsidRPr="00B24FE4">
              <w:rPr>
                <w:rFonts w:ascii="Arial" w:hAnsi="Arial" w:cs="Arial"/>
                <w:sz w:val="22"/>
                <w:szCs w:val="22"/>
              </w:rPr>
              <w:t xml:space="preserve">La fecha en que culmina el plazo de la clasificación </w:t>
            </w:r>
          </w:p>
        </w:tc>
        <w:tc>
          <w:tcPr>
            <w:tcW w:w="8080" w:type="dxa"/>
          </w:tcPr>
          <w:p w:rsidR="00766804" w:rsidRPr="00B24FE4" w:rsidRDefault="00766804" w:rsidP="006E6122">
            <w:pPr>
              <w:tabs>
                <w:tab w:val="center" w:pos="4419"/>
                <w:tab w:val="right" w:pos="8838"/>
              </w:tabs>
              <w:rPr>
                <w:rFonts w:ascii="Arial" w:hAnsi="Arial" w:cs="Arial"/>
                <w:sz w:val="22"/>
                <w:szCs w:val="22"/>
              </w:rPr>
            </w:pPr>
            <w:r w:rsidRPr="00B24FE4">
              <w:rPr>
                <w:rFonts w:ascii="Arial" w:hAnsi="Arial" w:cs="Arial"/>
                <w:sz w:val="22"/>
                <w:szCs w:val="22"/>
              </w:rPr>
              <w:t>Noviembre 2018</w:t>
            </w:r>
          </w:p>
          <w:p w:rsidR="00766804" w:rsidRPr="00B24FE4" w:rsidRDefault="00766804" w:rsidP="006E6122">
            <w:pPr>
              <w:tabs>
                <w:tab w:val="center" w:pos="4419"/>
                <w:tab w:val="right" w:pos="8838"/>
              </w:tabs>
              <w:rPr>
                <w:rFonts w:ascii="Arial" w:hAnsi="Arial" w:cs="Arial"/>
                <w:sz w:val="22"/>
                <w:szCs w:val="22"/>
              </w:rPr>
            </w:pPr>
          </w:p>
        </w:tc>
      </w:tr>
      <w:tr w:rsidR="00766804" w:rsidRPr="00B24FE4" w:rsidTr="00E550EE">
        <w:tc>
          <w:tcPr>
            <w:tcW w:w="5211" w:type="dxa"/>
          </w:tcPr>
          <w:p w:rsidR="00766804" w:rsidRPr="00B4067A" w:rsidRDefault="00766804" w:rsidP="006E6122">
            <w:pPr>
              <w:tabs>
                <w:tab w:val="center" w:pos="4419"/>
                <w:tab w:val="right" w:pos="8838"/>
              </w:tabs>
              <w:jc w:val="center"/>
              <w:rPr>
                <w:rFonts w:ascii="Arial" w:hAnsi="Arial" w:cs="Arial"/>
                <w:sz w:val="22"/>
                <w:szCs w:val="22"/>
              </w:rPr>
            </w:pPr>
            <w:r w:rsidRPr="00B4067A">
              <w:rPr>
                <w:rFonts w:ascii="Arial" w:hAnsi="Arial" w:cs="Arial"/>
                <w:sz w:val="22"/>
                <w:szCs w:val="22"/>
              </w:rPr>
              <w:t xml:space="preserve">Las partes o secciones de los expedientes o documentos que se clasifican </w:t>
            </w:r>
          </w:p>
          <w:p w:rsidR="00766804" w:rsidRPr="00B4067A" w:rsidRDefault="00766804" w:rsidP="006E6122">
            <w:pPr>
              <w:tabs>
                <w:tab w:val="center" w:pos="4419"/>
                <w:tab w:val="right" w:pos="8838"/>
              </w:tabs>
              <w:jc w:val="center"/>
              <w:rPr>
                <w:rFonts w:ascii="Arial" w:hAnsi="Arial" w:cs="Arial"/>
                <w:sz w:val="22"/>
                <w:szCs w:val="22"/>
              </w:rPr>
            </w:pPr>
          </w:p>
        </w:tc>
        <w:tc>
          <w:tcPr>
            <w:tcW w:w="8080" w:type="dxa"/>
          </w:tcPr>
          <w:p w:rsidR="00766804" w:rsidRPr="00B4067A" w:rsidRDefault="00766804" w:rsidP="00D649CD">
            <w:pPr>
              <w:rPr>
                <w:rFonts w:ascii="Arial" w:hAnsi="Arial" w:cs="Arial"/>
                <w:sz w:val="22"/>
                <w:szCs w:val="22"/>
              </w:rPr>
            </w:pPr>
            <w:r w:rsidRPr="00B4067A">
              <w:rPr>
                <w:rFonts w:ascii="Arial" w:hAnsi="Arial" w:cs="Arial"/>
                <w:sz w:val="22"/>
                <w:szCs w:val="22"/>
              </w:rPr>
              <w:t xml:space="preserve">Acuerdo de inicio, citatorio para audiencia de pruebas y alegatos, acta de audiencia de pruebas y alegatos, actas de notificación, citatorios de espera, papeles de trabajo de los Entes Fiscalizables señalados en el Decreto Número 349 que Aprueba el Informe del Resultado de las Cuentas Públicas de los Entes Fiscalizables del Estado de Veracruz, correspondientes al ejercicio dos mil dieciséis, a los que se les incoe la Segunda Fase de </w:t>
            </w:r>
            <w:r w:rsidRPr="00B4067A">
              <w:rPr>
                <w:rFonts w:ascii="Arial" w:hAnsi="Arial" w:cs="Arial"/>
                <w:i/>
                <w:sz w:val="22"/>
                <w:szCs w:val="22"/>
              </w:rPr>
              <w:t xml:space="preserve">Determinación de Responsabilidades y </w:t>
            </w:r>
            <w:proofErr w:type="spellStart"/>
            <w:r w:rsidRPr="00B4067A">
              <w:rPr>
                <w:rFonts w:ascii="Arial" w:hAnsi="Arial" w:cs="Arial"/>
                <w:i/>
                <w:sz w:val="22"/>
                <w:szCs w:val="22"/>
              </w:rPr>
              <w:t>Fincamiento</w:t>
            </w:r>
            <w:proofErr w:type="spellEnd"/>
            <w:r w:rsidRPr="00B4067A">
              <w:rPr>
                <w:rFonts w:ascii="Arial" w:hAnsi="Arial" w:cs="Arial"/>
                <w:i/>
                <w:sz w:val="22"/>
                <w:szCs w:val="22"/>
              </w:rPr>
              <w:t xml:space="preserve"> de Indemnizaciones y Sanciones</w:t>
            </w:r>
            <w:r w:rsidRPr="00B4067A">
              <w:rPr>
                <w:rFonts w:ascii="Arial" w:hAnsi="Arial" w:cs="Arial"/>
                <w:sz w:val="22"/>
                <w:szCs w:val="22"/>
              </w:rPr>
              <w:t xml:space="preserve"> (Anexo).</w:t>
            </w:r>
          </w:p>
        </w:tc>
      </w:tr>
    </w:tbl>
    <w:p w:rsidR="000716B4" w:rsidRPr="00403E3F" w:rsidRDefault="000716B4" w:rsidP="00C0340E">
      <w:pPr>
        <w:rPr>
          <w:rFonts w:ascii="Arial" w:hAnsi="Arial" w:cs="Arial"/>
        </w:rPr>
      </w:pPr>
    </w:p>
    <w:sectPr w:rsidR="000716B4" w:rsidRPr="00403E3F" w:rsidSect="00C0340E">
      <w:headerReference w:type="default" r:id="rId8"/>
      <w:pgSz w:w="15842" w:h="12242" w:orient="landscape" w:code="1"/>
      <w:pgMar w:top="1418" w:right="1134" w:bottom="1418" w:left="1559" w:header="709"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19" w:rsidRDefault="00B63E19" w:rsidP="00F359C9">
      <w:r>
        <w:separator/>
      </w:r>
    </w:p>
  </w:endnote>
  <w:endnote w:type="continuationSeparator" w:id="0">
    <w:p w:rsidR="00B63E19" w:rsidRDefault="00B63E19" w:rsidP="00F3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19" w:rsidRDefault="00B63E19" w:rsidP="00F359C9">
      <w:r>
        <w:separator/>
      </w:r>
    </w:p>
  </w:footnote>
  <w:footnote w:type="continuationSeparator" w:id="0">
    <w:p w:rsidR="00B63E19" w:rsidRDefault="00B63E19" w:rsidP="00F3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C9" w:rsidRDefault="00311C93">
    <w:pPr>
      <w:pStyle w:val="Encabezado"/>
    </w:pPr>
    <w:r>
      <w:rPr>
        <w:rFonts w:ascii="Frutiger 55 Roman" w:hAnsi="Frutiger 55 Roman"/>
        <w:b/>
        <w:noProof/>
        <w:lang w:eastAsia="es-MX"/>
      </w:rPr>
      <mc:AlternateContent>
        <mc:Choice Requires="wps">
          <w:drawing>
            <wp:anchor distT="0" distB="0" distL="114300" distR="114300" simplePos="0" relativeHeight="251657216" behindDoc="0" locked="0" layoutInCell="1" allowOverlap="1" wp14:anchorId="4E7E4F9C" wp14:editId="5EC100C4">
              <wp:simplePos x="0" y="0"/>
              <wp:positionH relativeFrom="column">
                <wp:posOffset>4234815</wp:posOffset>
              </wp:positionH>
              <wp:positionV relativeFrom="paragraph">
                <wp:posOffset>-92710</wp:posOffset>
              </wp:positionV>
              <wp:extent cx="3340100" cy="277495"/>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02A" w:rsidRPr="00BB435D" w:rsidRDefault="0085202A" w:rsidP="0085202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E7E4F9C" id="_x0000_t202" coordsize="21600,21600" o:spt="202" path="m,l,21600r21600,l21600,xe">
              <v:stroke joinstyle="miter"/>
              <v:path gradientshapeok="t" o:connecttype="rect"/>
            </v:shapetype>
            <v:shape id="Text Box 4" o:spid="_x0000_s1026" type="#_x0000_t202" style="position:absolute;left:0;text-align:left;margin-left:333.45pt;margin-top:-7.3pt;width:263pt;height:21.8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1gsgIAALk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" filled="f" stroked="f">
              <v:textbox style="mso-fit-shape-to-text:t">
                <w:txbxContent>
                  <w:p w:rsidR="0085202A" w:rsidRPr="00BB435D" w:rsidRDefault="0085202A" w:rsidP="0085202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D08A4"/>
    <w:multiLevelType w:val="hybridMultilevel"/>
    <w:tmpl w:val="8E20C57C"/>
    <w:lvl w:ilvl="0" w:tplc="D69A52E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79B0863"/>
    <w:multiLevelType w:val="hybridMultilevel"/>
    <w:tmpl w:val="7FA44FF6"/>
    <w:lvl w:ilvl="0" w:tplc="0AC227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0F6EA6"/>
    <w:multiLevelType w:val="hybridMultilevel"/>
    <w:tmpl w:val="62E8F8CA"/>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4"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61639"/>
    <w:multiLevelType w:val="hybridMultilevel"/>
    <w:tmpl w:val="99A4BB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E0EAE"/>
    <w:multiLevelType w:val="hybridMultilevel"/>
    <w:tmpl w:val="6D2E1D90"/>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8" w15:restartNumberingAfterBreak="0">
    <w:nsid w:val="3ECE29CF"/>
    <w:multiLevelType w:val="hybridMultilevel"/>
    <w:tmpl w:val="CAD254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97197"/>
    <w:multiLevelType w:val="hybridMultilevel"/>
    <w:tmpl w:val="0E844156"/>
    <w:lvl w:ilvl="0" w:tplc="4434CAD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531060C5"/>
    <w:multiLevelType w:val="hybridMultilevel"/>
    <w:tmpl w:val="5182586C"/>
    <w:lvl w:ilvl="0" w:tplc="080A0017">
      <w:start w:val="1"/>
      <w:numFmt w:val="lowerLetter"/>
      <w:lvlText w:val="%1)"/>
      <w:lvlJc w:val="lef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1"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605307"/>
    <w:multiLevelType w:val="hybridMultilevel"/>
    <w:tmpl w:val="A5760D4A"/>
    <w:lvl w:ilvl="0" w:tplc="080A0013">
      <w:start w:val="1"/>
      <w:numFmt w:val="upperRoman"/>
      <w:lvlText w:val="%1."/>
      <w:lvlJc w:val="right"/>
      <w:pPr>
        <w:ind w:left="1515" w:hanging="360"/>
      </w:p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13" w15:restartNumberingAfterBreak="0">
    <w:nsid w:val="74D022D2"/>
    <w:multiLevelType w:val="hybridMultilevel"/>
    <w:tmpl w:val="B0564E7A"/>
    <w:lvl w:ilvl="0" w:tplc="0D24A36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B886C4E"/>
    <w:multiLevelType w:val="hybridMultilevel"/>
    <w:tmpl w:val="40C095DA"/>
    <w:lvl w:ilvl="0" w:tplc="797CE5D2">
      <w:start w:val="1"/>
      <w:numFmt w:val="upperRoman"/>
      <w:lvlText w:val="%1."/>
      <w:lvlJc w:val="left"/>
      <w:pPr>
        <w:ind w:left="717" w:hanging="717"/>
      </w:pPr>
      <w:rPr>
        <w:rFonts w:hint="default"/>
      </w:rPr>
    </w:lvl>
    <w:lvl w:ilvl="1" w:tplc="080A0019" w:tentative="1">
      <w:start w:val="1"/>
      <w:numFmt w:val="lowerLetter"/>
      <w:lvlText w:val="%2."/>
      <w:lvlJc w:val="left"/>
      <w:pPr>
        <w:ind w:left="780" w:hanging="360"/>
      </w:pPr>
    </w:lvl>
    <w:lvl w:ilvl="2" w:tplc="080A001B" w:tentative="1">
      <w:start w:val="1"/>
      <w:numFmt w:val="lowerRoman"/>
      <w:lvlText w:val="%3."/>
      <w:lvlJc w:val="right"/>
      <w:pPr>
        <w:ind w:left="1500" w:hanging="180"/>
      </w:pPr>
    </w:lvl>
    <w:lvl w:ilvl="3" w:tplc="080A000F" w:tentative="1">
      <w:start w:val="1"/>
      <w:numFmt w:val="decimal"/>
      <w:lvlText w:val="%4."/>
      <w:lvlJc w:val="left"/>
      <w:pPr>
        <w:ind w:left="2220" w:hanging="360"/>
      </w:pPr>
    </w:lvl>
    <w:lvl w:ilvl="4" w:tplc="080A0019" w:tentative="1">
      <w:start w:val="1"/>
      <w:numFmt w:val="lowerLetter"/>
      <w:lvlText w:val="%5."/>
      <w:lvlJc w:val="left"/>
      <w:pPr>
        <w:ind w:left="2940" w:hanging="360"/>
      </w:pPr>
    </w:lvl>
    <w:lvl w:ilvl="5" w:tplc="080A001B" w:tentative="1">
      <w:start w:val="1"/>
      <w:numFmt w:val="lowerRoman"/>
      <w:lvlText w:val="%6."/>
      <w:lvlJc w:val="right"/>
      <w:pPr>
        <w:ind w:left="3660" w:hanging="180"/>
      </w:pPr>
    </w:lvl>
    <w:lvl w:ilvl="6" w:tplc="080A000F" w:tentative="1">
      <w:start w:val="1"/>
      <w:numFmt w:val="decimal"/>
      <w:lvlText w:val="%7."/>
      <w:lvlJc w:val="left"/>
      <w:pPr>
        <w:ind w:left="4380" w:hanging="360"/>
      </w:pPr>
    </w:lvl>
    <w:lvl w:ilvl="7" w:tplc="080A0019" w:tentative="1">
      <w:start w:val="1"/>
      <w:numFmt w:val="lowerLetter"/>
      <w:lvlText w:val="%8."/>
      <w:lvlJc w:val="left"/>
      <w:pPr>
        <w:ind w:left="5100" w:hanging="360"/>
      </w:pPr>
    </w:lvl>
    <w:lvl w:ilvl="8" w:tplc="080A001B" w:tentative="1">
      <w:start w:val="1"/>
      <w:numFmt w:val="lowerRoman"/>
      <w:lvlText w:val="%9."/>
      <w:lvlJc w:val="right"/>
      <w:pPr>
        <w:ind w:left="5820" w:hanging="180"/>
      </w:pPr>
    </w:lvl>
  </w:abstractNum>
  <w:abstractNum w:abstractNumId="15" w15:restartNumberingAfterBreak="0">
    <w:nsid w:val="7F7C083D"/>
    <w:multiLevelType w:val="hybridMultilevel"/>
    <w:tmpl w:val="69CA091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7"/>
  </w:num>
  <w:num w:numId="2">
    <w:abstractNumId w:val="15"/>
  </w:num>
  <w:num w:numId="3">
    <w:abstractNumId w:val="3"/>
  </w:num>
  <w:num w:numId="4">
    <w:abstractNumId w:val="12"/>
  </w:num>
  <w:num w:numId="5">
    <w:abstractNumId w:val="10"/>
  </w:num>
  <w:num w:numId="6">
    <w:abstractNumId w:val="2"/>
  </w:num>
  <w:num w:numId="7">
    <w:abstractNumId w:val="8"/>
  </w:num>
  <w:num w:numId="8">
    <w:abstractNumId w:val="6"/>
  </w:num>
  <w:num w:numId="9">
    <w:abstractNumId w:val="11"/>
  </w:num>
  <w:num w:numId="10">
    <w:abstractNumId w:val="4"/>
  </w:num>
  <w:num w:numId="11">
    <w:abstractNumId w:val="0"/>
  </w:num>
  <w:num w:numId="12">
    <w:abstractNumId w:val="5"/>
  </w:num>
  <w:num w:numId="13">
    <w:abstractNumId w:val="14"/>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9"/>
    <w:rsid w:val="000022F5"/>
    <w:rsid w:val="00020CD4"/>
    <w:rsid w:val="000273A0"/>
    <w:rsid w:val="0002767A"/>
    <w:rsid w:val="00036E96"/>
    <w:rsid w:val="000614A0"/>
    <w:rsid w:val="00067393"/>
    <w:rsid w:val="000716B4"/>
    <w:rsid w:val="00080985"/>
    <w:rsid w:val="000A341A"/>
    <w:rsid w:val="000D1403"/>
    <w:rsid w:val="000F22F3"/>
    <w:rsid w:val="00140CD7"/>
    <w:rsid w:val="00157D8B"/>
    <w:rsid w:val="00163C75"/>
    <w:rsid w:val="00165D60"/>
    <w:rsid w:val="0016783F"/>
    <w:rsid w:val="001803BF"/>
    <w:rsid w:val="001805AC"/>
    <w:rsid w:val="00181583"/>
    <w:rsid w:val="00181C40"/>
    <w:rsid w:val="00197A15"/>
    <w:rsid w:val="001A6250"/>
    <w:rsid w:val="001B2D05"/>
    <w:rsid w:val="001C08F3"/>
    <w:rsid w:val="001D2A2D"/>
    <w:rsid w:val="001F2BA4"/>
    <w:rsid w:val="001F6733"/>
    <w:rsid w:val="00201D56"/>
    <w:rsid w:val="002147BA"/>
    <w:rsid w:val="00234A12"/>
    <w:rsid w:val="00234E8C"/>
    <w:rsid w:val="002441EA"/>
    <w:rsid w:val="00252636"/>
    <w:rsid w:val="00261022"/>
    <w:rsid w:val="002611C6"/>
    <w:rsid w:val="00262A52"/>
    <w:rsid w:val="00280079"/>
    <w:rsid w:val="002954D8"/>
    <w:rsid w:val="002B53DF"/>
    <w:rsid w:val="002C01DB"/>
    <w:rsid w:val="002C05F3"/>
    <w:rsid w:val="002F2A00"/>
    <w:rsid w:val="00300ACE"/>
    <w:rsid w:val="003068EA"/>
    <w:rsid w:val="00311C93"/>
    <w:rsid w:val="00332B93"/>
    <w:rsid w:val="00334C3C"/>
    <w:rsid w:val="00356BF6"/>
    <w:rsid w:val="0036149F"/>
    <w:rsid w:val="0036283F"/>
    <w:rsid w:val="00366728"/>
    <w:rsid w:val="003704D7"/>
    <w:rsid w:val="00381240"/>
    <w:rsid w:val="00387976"/>
    <w:rsid w:val="003A7817"/>
    <w:rsid w:val="003C037C"/>
    <w:rsid w:val="003D0E46"/>
    <w:rsid w:val="003D2D2E"/>
    <w:rsid w:val="003D5806"/>
    <w:rsid w:val="003F204B"/>
    <w:rsid w:val="004012D7"/>
    <w:rsid w:val="00417C4E"/>
    <w:rsid w:val="00423FE7"/>
    <w:rsid w:val="004253E0"/>
    <w:rsid w:val="00430754"/>
    <w:rsid w:val="0044226F"/>
    <w:rsid w:val="00462315"/>
    <w:rsid w:val="00463FE5"/>
    <w:rsid w:val="0047023A"/>
    <w:rsid w:val="004767AC"/>
    <w:rsid w:val="00493A02"/>
    <w:rsid w:val="004B2850"/>
    <w:rsid w:val="004B2B97"/>
    <w:rsid w:val="004B3509"/>
    <w:rsid w:val="004B3D1D"/>
    <w:rsid w:val="004B4726"/>
    <w:rsid w:val="004E5E1A"/>
    <w:rsid w:val="00500CE0"/>
    <w:rsid w:val="005460E3"/>
    <w:rsid w:val="005540CA"/>
    <w:rsid w:val="00587987"/>
    <w:rsid w:val="005936A5"/>
    <w:rsid w:val="005B6FE7"/>
    <w:rsid w:val="005D1286"/>
    <w:rsid w:val="005E57B6"/>
    <w:rsid w:val="005E64E8"/>
    <w:rsid w:val="005F47B9"/>
    <w:rsid w:val="00611DC8"/>
    <w:rsid w:val="00635D01"/>
    <w:rsid w:val="006569B0"/>
    <w:rsid w:val="006615E1"/>
    <w:rsid w:val="006649CA"/>
    <w:rsid w:val="00665E7C"/>
    <w:rsid w:val="0067582A"/>
    <w:rsid w:val="00682529"/>
    <w:rsid w:val="00683467"/>
    <w:rsid w:val="006B5A17"/>
    <w:rsid w:val="006B76C1"/>
    <w:rsid w:val="006C5F52"/>
    <w:rsid w:val="006D1081"/>
    <w:rsid w:val="006F682A"/>
    <w:rsid w:val="006F6B3A"/>
    <w:rsid w:val="006F7177"/>
    <w:rsid w:val="007173C4"/>
    <w:rsid w:val="00724090"/>
    <w:rsid w:val="00724DAF"/>
    <w:rsid w:val="007350A5"/>
    <w:rsid w:val="00744A51"/>
    <w:rsid w:val="00754B07"/>
    <w:rsid w:val="00763059"/>
    <w:rsid w:val="00766804"/>
    <w:rsid w:val="007809EF"/>
    <w:rsid w:val="00780B47"/>
    <w:rsid w:val="007B42C3"/>
    <w:rsid w:val="007C0D28"/>
    <w:rsid w:val="007C6E4F"/>
    <w:rsid w:val="007D3248"/>
    <w:rsid w:val="007D34B2"/>
    <w:rsid w:val="007F61D6"/>
    <w:rsid w:val="007F6346"/>
    <w:rsid w:val="00802E57"/>
    <w:rsid w:val="00824B75"/>
    <w:rsid w:val="00834E16"/>
    <w:rsid w:val="00835FD9"/>
    <w:rsid w:val="0084309B"/>
    <w:rsid w:val="0085202A"/>
    <w:rsid w:val="00883F64"/>
    <w:rsid w:val="008A3ED2"/>
    <w:rsid w:val="008A54B2"/>
    <w:rsid w:val="008B7872"/>
    <w:rsid w:val="008D1443"/>
    <w:rsid w:val="008D358F"/>
    <w:rsid w:val="008D663F"/>
    <w:rsid w:val="008E7625"/>
    <w:rsid w:val="008F664A"/>
    <w:rsid w:val="00907DF8"/>
    <w:rsid w:val="00910DFE"/>
    <w:rsid w:val="00923654"/>
    <w:rsid w:val="00931934"/>
    <w:rsid w:val="0095787E"/>
    <w:rsid w:val="00997131"/>
    <w:rsid w:val="009D6100"/>
    <w:rsid w:val="009E11FF"/>
    <w:rsid w:val="009E2F44"/>
    <w:rsid w:val="009F2A7E"/>
    <w:rsid w:val="009F6C72"/>
    <w:rsid w:val="00A00A29"/>
    <w:rsid w:val="00A00C2F"/>
    <w:rsid w:val="00A166EB"/>
    <w:rsid w:val="00A51F9D"/>
    <w:rsid w:val="00A5330A"/>
    <w:rsid w:val="00A54600"/>
    <w:rsid w:val="00AA6C7F"/>
    <w:rsid w:val="00AE090D"/>
    <w:rsid w:val="00AE0F27"/>
    <w:rsid w:val="00B05732"/>
    <w:rsid w:val="00B179C2"/>
    <w:rsid w:val="00B22F41"/>
    <w:rsid w:val="00B24FE4"/>
    <w:rsid w:val="00B33E38"/>
    <w:rsid w:val="00B37F29"/>
    <w:rsid w:val="00B4067A"/>
    <w:rsid w:val="00B43A19"/>
    <w:rsid w:val="00B52C78"/>
    <w:rsid w:val="00B63E19"/>
    <w:rsid w:val="00B73D48"/>
    <w:rsid w:val="00B801EF"/>
    <w:rsid w:val="00B83310"/>
    <w:rsid w:val="00B97015"/>
    <w:rsid w:val="00BA3669"/>
    <w:rsid w:val="00BA5751"/>
    <w:rsid w:val="00BB110F"/>
    <w:rsid w:val="00BB4929"/>
    <w:rsid w:val="00BE1D8C"/>
    <w:rsid w:val="00BF4B71"/>
    <w:rsid w:val="00C0340E"/>
    <w:rsid w:val="00C173B4"/>
    <w:rsid w:val="00C47F8E"/>
    <w:rsid w:val="00C51ACD"/>
    <w:rsid w:val="00C60F75"/>
    <w:rsid w:val="00C77F8D"/>
    <w:rsid w:val="00C90148"/>
    <w:rsid w:val="00CB2323"/>
    <w:rsid w:val="00CE5820"/>
    <w:rsid w:val="00CF4981"/>
    <w:rsid w:val="00D052BD"/>
    <w:rsid w:val="00D16469"/>
    <w:rsid w:val="00D266DE"/>
    <w:rsid w:val="00D47C98"/>
    <w:rsid w:val="00D63E77"/>
    <w:rsid w:val="00D649CD"/>
    <w:rsid w:val="00D814FF"/>
    <w:rsid w:val="00D907AF"/>
    <w:rsid w:val="00D97498"/>
    <w:rsid w:val="00DA33FF"/>
    <w:rsid w:val="00DB153A"/>
    <w:rsid w:val="00DC2063"/>
    <w:rsid w:val="00DC245F"/>
    <w:rsid w:val="00DD13FE"/>
    <w:rsid w:val="00E003A1"/>
    <w:rsid w:val="00E127D9"/>
    <w:rsid w:val="00E372E6"/>
    <w:rsid w:val="00E47CD4"/>
    <w:rsid w:val="00E50FE9"/>
    <w:rsid w:val="00E53AF8"/>
    <w:rsid w:val="00E550EE"/>
    <w:rsid w:val="00E56D79"/>
    <w:rsid w:val="00E835D7"/>
    <w:rsid w:val="00E9302E"/>
    <w:rsid w:val="00E97FB2"/>
    <w:rsid w:val="00EA5D11"/>
    <w:rsid w:val="00EA725A"/>
    <w:rsid w:val="00EC50D3"/>
    <w:rsid w:val="00EE4D1C"/>
    <w:rsid w:val="00EF10FD"/>
    <w:rsid w:val="00F124AC"/>
    <w:rsid w:val="00F22EBD"/>
    <w:rsid w:val="00F31F12"/>
    <w:rsid w:val="00F359C9"/>
    <w:rsid w:val="00F7676B"/>
    <w:rsid w:val="00F97411"/>
    <w:rsid w:val="00FA3EC4"/>
    <w:rsid w:val="00FA53FD"/>
    <w:rsid w:val="00FB7CB7"/>
    <w:rsid w:val="00FD22F5"/>
    <w:rsid w:val="00FD47FF"/>
    <w:rsid w:val="00FD625E"/>
    <w:rsid w:val="00FE1364"/>
    <w:rsid w:val="00FE6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5CF82-3187-449C-8849-6EAFD715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A"/>
    <w:pPr>
      <w:jc w:val="both"/>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59C9"/>
    <w:pPr>
      <w:tabs>
        <w:tab w:val="center" w:pos="4419"/>
        <w:tab w:val="right" w:pos="8838"/>
      </w:tabs>
    </w:pPr>
  </w:style>
  <w:style w:type="character" w:customStyle="1" w:styleId="EncabezadoCar">
    <w:name w:val="Encabezado Car"/>
    <w:basedOn w:val="Fuentedeprrafopredeter"/>
    <w:link w:val="Encabezado"/>
    <w:uiPriority w:val="99"/>
    <w:rsid w:val="00F359C9"/>
  </w:style>
  <w:style w:type="paragraph" w:styleId="Piedepgina">
    <w:name w:val="footer"/>
    <w:basedOn w:val="Normal"/>
    <w:link w:val="PiedepginaCar"/>
    <w:uiPriority w:val="99"/>
    <w:unhideWhenUsed/>
    <w:rsid w:val="00F359C9"/>
    <w:pPr>
      <w:tabs>
        <w:tab w:val="center" w:pos="4419"/>
        <w:tab w:val="right" w:pos="8838"/>
      </w:tabs>
    </w:pPr>
  </w:style>
  <w:style w:type="character" w:customStyle="1" w:styleId="PiedepginaCar">
    <w:name w:val="Pie de página Car"/>
    <w:basedOn w:val="Fuentedeprrafopredeter"/>
    <w:link w:val="Piedepgina"/>
    <w:uiPriority w:val="99"/>
    <w:rsid w:val="00F359C9"/>
  </w:style>
  <w:style w:type="paragraph" w:styleId="Textodeglobo">
    <w:name w:val="Balloon Text"/>
    <w:basedOn w:val="Normal"/>
    <w:link w:val="TextodegloboCar"/>
    <w:uiPriority w:val="99"/>
    <w:semiHidden/>
    <w:unhideWhenUsed/>
    <w:rsid w:val="00F359C9"/>
    <w:rPr>
      <w:rFonts w:ascii="Tahoma" w:hAnsi="Tahoma"/>
      <w:sz w:val="16"/>
      <w:szCs w:val="16"/>
    </w:rPr>
  </w:style>
  <w:style w:type="character" w:customStyle="1" w:styleId="TextodegloboCar">
    <w:name w:val="Texto de globo Car"/>
    <w:link w:val="Textodeglobo"/>
    <w:uiPriority w:val="99"/>
    <w:semiHidden/>
    <w:rsid w:val="00F359C9"/>
    <w:rPr>
      <w:rFonts w:ascii="Tahoma" w:hAnsi="Tahoma" w:cs="Tahoma"/>
      <w:sz w:val="16"/>
      <w:szCs w:val="16"/>
    </w:rPr>
  </w:style>
  <w:style w:type="character" w:styleId="Hipervnculo">
    <w:name w:val="Hyperlink"/>
    <w:unhideWhenUsed/>
    <w:rsid w:val="00F359C9"/>
    <w:rPr>
      <w:color w:val="0000FF"/>
      <w:u w:val="single"/>
    </w:rPr>
  </w:style>
  <w:style w:type="table" w:styleId="Tablaconcuadrcula">
    <w:name w:val="Table Grid"/>
    <w:basedOn w:val="Tablanormal"/>
    <w:uiPriority w:val="59"/>
    <w:rsid w:val="0026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250"/>
    <w:pPr>
      <w:ind w:left="708"/>
    </w:pPr>
  </w:style>
  <w:style w:type="paragraph" w:customStyle="1" w:styleId="texto">
    <w:name w:val="texto"/>
    <w:basedOn w:val="Normal"/>
    <w:rsid w:val="003D2D2E"/>
    <w:pPr>
      <w:spacing w:after="101" w:line="216" w:lineRule="atLeast"/>
      <w:ind w:firstLine="288"/>
    </w:pPr>
    <w:rPr>
      <w:rFonts w:ascii="Helv" w:eastAsia="Times New Roman" w:hAnsi="Helv"/>
      <w:sz w:val="18"/>
      <w:szCs w:val="20"/>
      <w:lang w:val="es-ES_tradnl" w:eastAsia="es-ES"/>
    </w:rPr>
  </w:style>
  <w:style w:type="paragraph" w:customStyle="1" w:styleId="Texto0">
    <w:name w:val="Texto"/>
    <w:basedOn w:val="Normal"/>
    <w:link w:val="TextoCar"/>
    <w:rsid w:val="002147BA"/>
    <w:pPr>
      <w:spacing w:after="101" w:line="216" w:lineRule="exact"/>
      <w:ind w:firstLine="288"/>
    </w:pPr>
    <w:rPr>
      <w:rFonts w:ascii="Arial" w:eastAsia="Times New Roman" w:hAnsi="Arial"/>
      <w:sz w:val="18"/>
      <w:szCs w:val="20"/>
      <w:lang w:val="es-ES" w:eastAsia="es-ES"/>
    </w:rPr>
  </w:style>
  <w:style w:type="character" w:customStyle="1" w:styleId="TextoCar">
    <w:name w:val="Texto Car"/>
    <w:link w:val="Texto0"/>
    <w:locked/>
    <w:rsid w:val="002147BA"/>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5557">
      <w:bodyDiv w:val="1"/>
      <w:marLeft w:val="0"/>
      <w:marRight w:val="0"/>
      <w:marTop w:val="0"/>
      <w:marBottom w:val="0"/>
      <w:divBdr>
        <w:top w:val="none" w:sz="0" w:space="0" w:color="auto"/>
        <w:left w:val="none" w:sz="0" w:space="0" w:color="auto"/>
        <w:bottom w:val="none" w:sz="0" w:space="0" w:color="auto"/>
        <w:right w:val="none" w:sz="0" w:space="0" w:color="auto"/>
      </w:divBdr>
    </w:div>
    <w:div w:id="20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8B171-42FF-446D-9AC5-381D2D8C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MCONTRERAS</dc:creator>
  <cp:lastModifiedBy>Arcelid Herrera García</cp:lastModifiedBy>
  <cp:revision>2</cp:revision>
  <cp:lastPrinted>2014-02-05T18:39:00Z</cp:lastPrinted>
  <dcterms:created xsi:type="dcterms:W3CDTF">2018-01-10T21:05:00Z</dcterms:created>
  <dcterms:modified xsi:type="dcterms:W3CDTF">2018-01-10T21:05:00Z</dcterms:modified>
</cp:coreProperties>
</file>