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080"/>
      </w:tblGrid>
      <w:tr w:rsidR="000716B4" w:rsidRPr="004059AD" w:rsidTr="00E550EE">
        <w:tc>
          <w:tcPr>
            <w:tcW w:w="5211" w:type="dxa"/>
            <w:tcBorders>
              <w:left w:val="single" w:sz="4" w:space="0" w:color="auto"/>
            </w:tcBorders>
            <w:shd w:val="clear" w:color="auto" w:fill="92D050"/>
          </w:tcPr>
          <w:p w:rsidR="000716B4" w:rsidRPr="004059AD" w:rsidRDefault="000716B4" w:rsidP="006E6122">
            <w:pPr>
              <w:tabs>
                <w:tab w:val="center" w:pos="4419"/>
                <w:tab w:val="right" w:pos="8838"/>
              </w:tabs>
              <w:jc w:val="center"/>
              <w:rPr>
                <w:rFonts w:ascii="Arial" w:hAnsi="Arial" w:cs="Arial"/>
                <w:b/>
                <w:sz w:val="22"/>
                <w:szCs w:val="22"/>
              </w:rPr>
            </w:pPr>
            <w:bookmarkStart w:id="0" w:name="_GoBack"/>
            <w:bookmarkEnd w:id="0"/>
            <w:r w:rsidRPr="004059AD">
              <w:rPr>
                <w:rFonts w:ascii="Arial" w:hAnsi="Arial" w:cs="Arial"/>
                <w:b/>
                <w:sz w:val="22"/>
                <w:szCs w:val="22"/>
              </w:rPr>
              <w:t>Concepto</w:t>
            </w:r>
          </w:p>
        </w:tc>
        <w:tc>
          <w:tcPr>
            <w:tcW w:w="8080" w:type="dxa"/>
            <w:shd w:val="clear" w:color="auto" w:fill="92D050"/>
          </w:tcPr>
          <w:p w:rsidR="000716B4" w:rsidRPr="004059AD" w:rsidRDefault="000716B4" w:rsidP="006E6122">
            <w:pPr>
              <w:tabs>
                <w:tab w:val="center" w:pos="4419"/>
                <w:tab w:val="right" w:pos="8838"/>
              </w:tabs>
              <w:jc w:val="center"/>
              <w:rPr>
                <w:rFonts w:ascii="Arial" w:hAnsi="Arial" w:cs="Arial"/>
                <w:b/>
                <w:sz w:val="22"/>
                <w:szCs w:val="22"/>
              </w:rPr>
            </w:pPr>
            <w:r w:rsidRPr="004059AD">
              <w:rPr>
                <w:rFonts w:ascii="Arial" w:hAnsi="Arial" w:cs="Arial"/>
                <w:b/>
                <w:sz w:val="22"/>
                <w:szCs w:val="22"/>
              </w:rPr>
              <w:t>Dónde:</w:t>
            </w:r>
          </w:p>
        </w:tc>
      </w:tr>
      <w:tr w:rsidR="000716B4" w:rsidRPr="004059AD" w:rsidTr="00E550EE">
        <w:tc>
          <w:tcPr>
            <w:tcW w:w="5211" w:type="dxa"/>
          </w:tcPr>
          <w:p w:rsidR="000716B4" w:rsidRPr="004059AD" w:rsidRDefault="000716B4" w:rsidP="00E550EE">
            <w:pPr>
              <w:tabs>
                <w:tab w:val="center" w:pos="4419"/>
                <w:tab w:val="right" w:pos="8838"/>
              </w:tabs>
              <w:jc w:val="center"/>
              <w:rPr>
                <w:rFonts w:ascii="Arial" w:hAnsi="Arial" w:cs="Arial"/>
                <w:sz w:val="22"/>
                <w:szCs w:val="22"/>
              </w:rPr>
            </w:pPr>
            <w:r w:rsidRPr="004059AD">
              <w:rPr>
                <w:rFonts w:ascii="Arial" w:hAnsi="Arial" w:cs="Arial"/>
                <w:sz w:val="22"/>
                <w:szCs w:val="22"/>
              </w:rPr>
              <w:t xml:space="preserve">El área que generó, obtuvo, adquirió, transformó y/o conserve la información </w:t>
            </w:r>
          </w:p>
        </w:tc>
        <w:tc>
          <w:tcPr>
            <w:tcW w:w="8080" w:type="dxa"/>
          </w:tcPr>
          <w:p w:rsidR="007567E9" w:rsidRPr="004059AD" w:rsidRDefault="007567E9" w:rsidP="002B53DF">
            <w:pPr>
              <w:rPr>
                <w:rFonts w:ascii="Arial" w:hAnsi="Arial" w:cs="Arial"/>
                <w:sz w:val="22"/>
                <w:szCs w:val="22"/>
              </w:rPr>
            </w:pPr>
          </w:p>
          <w:p w:rsidR="000716B4" w:rsidRPr="004059AD" w:rsidRDefault="007567E9" w:rsidP="002B53DF">
            <w:pPr>
              <w:rPr>
                <w:rFonts w:ascii="Arial" w:hAnsi="Arial" w:cs="Arial"/>
                <w:sz w:val="22"/>
                <w:szCs w:val="22"/>
              </w:rPr>
            </w:pPr>
            <w:r w:rsidRPr="004059AD">
              <w:rPr>
                <w:rFonts w:ascii="Arial" w:hAnsi="Arial" w:cs="Arial"/>
                <w:sz w:val="22"/>
                <w:szCs w:val="22"/>
              </w:rPr>
              <w:t xml:space="preserve">Auditoría Especial de Fiscalización a Cuentas Públicas </w:t>
            </w:r>
          </w:p>
        </w:tc>
      </w:tr>
      <w:tr w:rsidR="002B53DF" w:rsidRPr="004059AD" w:rsidTr="00E550EE">
        <w:tc>
          <w:tcPr>
            <w:tcW w:w="5211" w:type="dxa"/>
          </w:tcPr>
          <w:p w:rsidR="002B53DF" w:rsidRPr="004059AD" w:rsidRDefault="002B53DF" w:rsidP="006E6122">
            <w:pPr>
              <w:tabs>
                <w:tab w:val="center" w:pos="4419"/>
                <w:tab w:val="right" w:pos="8838"/>
              </w:tabs>
              <w:jc w:val="center"/>
              <w:rPr>
                <w:rFonts w:ascii="Arial" w:hAnsi="Arial" w:cs="Arial"/>
                <w:sz w:val="22"/>
                <w:szCs w:val="22"/>
              </w:rPr>
            </w:pPr>
          </w:p>
          <w:p w:rsidR="002B53DF" w:rsidRPr="004059AD" w:rsidRDefault="002B53DF" w:rsidP="006E6122">
            <w:pPr>
              <w:tabs>
                <w:tab w:val="center" w:pos="4419"/>
                <w:tab w:val="right" w:pos="8838"/>
              </w:tabs>
              <w:jc w:val="center"/>
              <w:rPr>
                <w:rFonts w:ascii="Arial" w:hAnsi="Arial" w:cs="Arial"/>
                <w:sz w:val="22"/>
                <w:szCs w:val="22"/>
              </w:rPr>
            </w:pPr>
            <w:r w:rsidRPr="004059AD">
              <w:rPr>
                <w:rFonts w:ascii="Arial" w:hAnsi="Arial" w:cs="Arial"/>
                <w:sz w:val="22"/>
                <w:szCs w:val="22"/>
              </w:rPr>
              <w:t xml:space="preserve">El nombre del documento </w:t>
            </w:r>
          </w:p>
          <w:p w:rsidR="002B53DF" w:rsidRPr="004059AD" w:rsidRDefault="002B53DF" w:rsidP="006E6122">
            <w:pPr>
              <w:tabs>
                <w:tab w:val="center" w:pos="4419"/>
                <w:tab w:val="right" w:pos="8838"/>
              </w:tabs>
              <w:jc w:val="center"/>
              <w:rPr>
                <w:rFonts w:ascii="Arial" w:hAnsi="Arial" w:cs="Arial"/>
                <w:sz w:val="22"/>
                <w:szCs w:val="22"/>
              </w:rPr>
            </w:pPr>
          </w:p>
        </w:tc>
        <w:tc>
          <w:tcPr>
            <w:tcW w:w="8080" w:type="dxa"/>
          </w:tcPr>
          <w:p w:rsidR="002B53DF" w:rsidRPr="004059AD" w:rsidRDefault="007567E9" w:rsidP="002B53DF">
            <w:pPr>
              <w:rPr>
                <w:rFonts w:ascii="Arial" w:hAnsi="Arial" w:cs="Arial"/>
                <w:sz w:val="22"/>
                <w:szCs w:val="22"/>
              </w:rPr>
            </w:pPr>
            <w:r w:rsidRPr="004059AD">
              <w:rPr>
                <w:rFonts w:ascii="Arial" w:hAnsi="Arial" w:cs="Arial"/>
                <w:sz w:val="22"/>
                <w:szCs w:val="22"/>
              </w:rPr>
              <w:t xml:space="preserve">Expedientes del Ente Fiscalizable: Secretaría de Desarrollo Agropecuario, Rural y Pesca del Estado de Veracruz (SEDARPA) derivados del procedimiento de fiscalización superior de las cuentas públicas 2015 y 2016, que formen parte de las Carpetas de Investigación C.I./FESP/532/2017/V-06 y FGE/FIM/F10/C.I./342/2017, con motivo de las denuncias presentadas.  </w:t>
            </w:r>
          </w:p>
        </w:tc>
      </w:tr>
      <w:tr w:rsidR="002B53DF" w:rsidRPr="004059AD" w:rsidTr="00E550EE">
        <w:tc>
          <w:tcPr>
            <w:tcW w:w="5211" w:type="dxa"/>
          </w:tcPr>
          <w:p w:rsidR="002B53DF" w:rsidRPr="004059AD" w:rsidRDefault="002B53DF" w:rsidP="006E6122">
            <w:pPr>
              <w:tabs>
                <w:tab w:val="center" w:pos="4419"/>
                <w:tab w:val="right" w:pos="8838"/>
              </w:tabs>
              <w:jc w:val="center"/>
              <w:rPr>
                <w:rFonts w:ascii="Arial" w:hAnsi="Arial" w:cs="Arial"/>
                <w:sz w:val="22"/>
                <w:szCs w:val="22"/>
              </w:rPr>
            </w:pPr>
          </w:p>
          <w:p w:rsidR="002B53DF" w:rsidRPr="004059AD" w:rsidRDefault="002B53DF" w:rsidP="006E6122">
            <w:pPr>
              <w:tabs>
                <w:tab w:val="center" w:pos="4419"/>
                <w:tab w:val="right" w:pos="8838"/>
              </w:tabs>
              <w:jc w:val="center"/>
              <w:rPr>
                <w:rFonts w:ascii="Arial" w:hAnsi="Arial" w:cs="Arial"/>
                <w:sz w:val="22"/>
                <w:szCs w:val="22"/>
              </w:rPr>
            </w:pPr>
          </w:p>
          <w:p w:rsidR="002B53DF" w:rsidRPr="004059AD" w:rsidRDefault="002B53DF" w:rsidP="006E6122">
            <w:pPr>
              <w:tabs>
                <w:tab w:val="center" w:pos="4419"/>
                <w:tab w:val="right" w:pos="8838"/>
              </w:tabs>
              <w:jc w:val="center"/>
              <w:rPr>
                <w:rFonts w:ascii="Arial" w:hAnsi="Arial" w:cs="Arial"/>
                <w:sz w:val="22"/>
                <w:szCs w:val="22"/>
              </w:rPr>
            </w:pPr>
          </w:p>
          <w:p w:rsidR="002B53DF" w:rsidRPr="004059AD" w:rsidRDefault="002B53DF" w:rsidP="006E6122">
            <w:pPr>
              <w:tabs>
                <w:tab w:val="center" w:pos="4419"/>
                <w:tab w:val="right" w:pos="8838"/>
              </w:tabs>
              <w:jc w:val="center"/>
              <w:rPr>
                <w:rFonts w:ascii="Arial" w:hAnsi="Arial" w:cs="Arial"/>
                <w:sz w:val="22"/>
                <w:szCs w:val="22"/>
              </w:rPr>
            </w:pPr>
          </w:p>
          <w:p w:rsidR="002B53DF" w:rsidRPr="004059AD" w:rsidRDefault="002B53DF" w:rsidP="006E6122">
            <w:pPr>
              <w:tabs>
                <w:tab w:val="center" w:pos="4419"/>
                <w:tab w:val="right" w:pos="8838"/>
              </w:tabs>
              <w:jc w:val="center"/>
              <w:rPr>
                <w:rFonts w:ascii="Arial" w:hAnsi="Arial" w:cs="Arial"/>
                <w:sz w:val="22"/>
                <w:szCs w:val="22"/>
              </w:rPr>
            </w:pPr>
            <w:r w:rsidRPr="004059AD">
              <w:rPr>
                <w:rFonts w:ascii="Arial" w:hAnsi="Arial" w:cs="Arial"/>
                <w:sz w:val="22"/>
                <w:szCs w:val="22"/>
              </w:rPr>
              <w:t xml:space="preserve">Fracción del numeral séptimo de los presentes lineamientos que da origen a la reserva </w:t>
            </w:r>
          </w:p>
          <w:p w:rsidR="002B53DF" w:rsidRPr="004059AD" w:rsidRDefault="002B53DF" w:rsidP="006E6122">
            <w:pPr>
              <w:tabs>
                <w:tab w:val="center" w:pos="4419"/>
                <w:tab w:val="right" w:pos="8838"/>
              </w:tabs>
              <w:jc w:val="center"/>
              <w:rPr>
                <w:rFonts w:ascii="Arial" w:hAnsi="Arial" w:cs="Arial"/>
                <w:sz w:val="22"/>
                <w:szCs w:val="22"/>
              </w:rPr>
            </w:pPr>
          </w:p>
        </w:tc>
        <w:tc>
          <w:tcPr>
            <w:tcW w:w="8080" w:type="dxa"/>
          </w:tcPr>
          <w:p w:rsidR="002B53DF" w:rsidRPr="004059AD" w:rsidRDefault="002B53DF" w:rsidP="002B53DF">
            <w:pPr>
              <w:pStyle w:val="Texto0"/>
              <w:spacing w:line="230" w:lineRule="exact"/>
              <w:ind w:firstLine="0"/>
              <w:rPr>
                <w:rFonts w:eastAsia="Calibri" w:cs="Arial"/>
                <w:b/>
                <w:sz w:val="22"/>
                <w:szCs w:val="22"/>
                <w:lang w:val="es-MX" w:eastAsia="en-US"/>
              </w:rPr>
            </w:pPr>
            <w:r w:rsidRPr="004059AD">
              <w:rPr>
                <w:rFonts w:eastAsia="Calibri" w:cs="Arial"/>
                <w:b/>
                <w:sz w:val="22"/>
                <w:szCs w:val="22"/>
                <w:lang w:val="es-MX" w:eastAsia="en-US"/>
              </w:rPr>
              <w:t>Lineamientos Generales en materia de Clasificación y Desclasificación de la Información, así como para la Elaboración de Versiones Públicas:</w:t>
            </w:r>
          </w:p>
          <w:p w:rsidR="002B53DF" w:rsidRPr="004059AD" w:rsidRDefault="002B53DF" w:rsidP="002B53DF">
            <w:pPr>
              <w:pStyle w:val="Texto0"/>
              <w:spacing w:line="230" w:lineRule="exact"/>
              <w:ind w:firstLine="0"/>
              <w:rPr>
                <w:rFonts w:cs="Arial"/>
                <w:i/>
                <w:sz w:val="22"/>
                <w:szCs w:val="22"/>
              </w:rPr>
            </w:pPr>
            <w:r w:rsidRPr="004059AD">
              <w:rPr>
                <w:rFonts w:cs="Arial"/>
                <w:i/>
                <w:sz w:val="22"/>
                <w:szCs w:val="22"/>
              </w:rPr>
              <w:t>Vigésimo noveno</w:t>
            </w:r>
            <w:r w:rsidRPr="004059AD">
              <w:rPr>
                <w:rFonts w:cs="Arial"/>
                <w:b/>
                <w:i/>
                <w:sz w:val="22"/>
                <w:szCs w:val="22"/>
              </w:rPr>
              <w:t>.</w:t>
            </w:r>
            <w:r w:rsidRPr="004059AD">
              <w:rPr>
                <w:rFonts w:cs="Arial"/>
                <w:i/>
                <w:sz w:val="22"/>
                <w:szCs w:val="22"/>
              </w:rPr>
              <w:t xml:space="preserve"> De conformidad con el artículo 113, fracción X de la Ley General, podrá considerarse como información reservada, aquella que de divulgarse afecte el debido proceso al actualizarse los siguientes elementos: </w:t>
            </w:r>
          </w:p>
          <w:p w:rsidR="002B53DF" w:rsidRPr="004059AD" w:rsidRDefault="002B53DF" w:rsidP="002B53DF">
            <w:pPr>
              <w:pStyle w:val="Texto0"/>
              <w:spacing w:line="230" w:lineRule="exact"/>
              <w:ind w:left="708" w:firstLine="0"/>
              <w:rPr>
                <w:rFonts w:cs="Arial"/>
                <w:i/>
                <w:sz w:val="22"/>
                <w:szCs w:val="22"/>
              </w:rPr>
            </w:pPr>
            <w:r w:rsidRPr="004059AD">
              <w:rPr>
                <w:rFonts w:cs="Arial"/>
                <w:i/>
                <w:sz w:val="22"/>
                <w:szCs w:val="22"/>
              </w:rPr>
              <w:t xml:space="preserve">I. La existencia de un procedimiento judicial, administrativo o arbitral en trámite; </w:t>
            </w:r>
          </w:p>
          <w:p w:rsidR="002B53DF" w:rsidRPr="004059AD" w:rsidRDefault="002B53DF" w:rsidP="002B53DF">
            <w:pPr>
              <w:pStyle w:val="Texto0"/>
              <w:spacing w:line="230" w:lineRule="exact"/>
              <w:ind w:left="708" w:firstLine="0"/>
              <w:rPr>
                <w:rFonts w:cs="Arial"/>
                <w:i/>
                <w:sz w:val="22"/>
                <w:szCs w:val="22"/>
              </w:rPr>
            </w:pPr>
            <w:r w:rsidRPr="004059AD">
              <w:rPr>
                <w:rFonts w:cs="Arial"/>
                <w:i/>
                <w:sz w:val="22"/>
                <w:szCs w:val="22"/>
              </w:rPr>
              <w:t xml:space="preserve">II. Que el sujeto obligado sea parte en ese procedimiento; </w:t>
            </w:r>
          </w:p>
          <w:p w:rsidR="006C5F52" w:rsidRPr="004059AD" w:rsidRDefault="002B53DF" w:rsidP="006C5F52">
            <w:pPr>
              <w:pStyle w:val="Texto0"/>
              <w:spacing w:line="230" w:lineRule="exact"/>
              <w:ind w:left="708" w:firstLine="0"/>
              <w:rPr>
                <w:rFonts w:cs="Arial"/>
                <w:i/>
                <w:sz w:val="22"/>
                <w:szCs w:val="22"/>
              </w:rPr>
            </w:pPr>
            <w:r w:rsidRPr="004059AD">
              <w:rPr>
                <w:rFonts w:cs="Arial"/>
                <w:i/>
                <w:sz w:val="22"/>
                <w:szCs w:val="22"/>
              </w:rPr>
              <w:t>III. Que la información no sea conocida por la contraparte antes de la presentación de la misma en el proceso, y</w:t>
            </w:r>
            <w:r w:rsidR="006C5F52" w:rsidRPr="004059AD">
              <w:rPr>
                <w:rFonts w:cs="Arial"/>
                <w:i/>
                <w:sz w:val="22"/>
                <w:szCs w:val="22"/>
              </w:rPr>
              <w:t xml:space="preserve"> </w:t>
            </w:r>
          </w:p>
          <w:p w:rsidR="002B53DF" w:rsidRPr="004059AD" w:rsidRDefault="002B53DF" w:rsidP="006C5F52">
            <w:pPr>
              <w:pStyle w:val="Texto0"/>
              <w:spacing w:line="230" w:lineRule="exact"/>
              <w:ind w:left="708" w:firstLine="0"/>
              <w:rPr>
                <w:rFonts w:cs="Arial"/>
                <w:i/>
                <w:sz w:val="22"/>
                <w:szCs w:val="22"/>
              </w:rPr>
            </w:pPr>
            <w:r w:rsidRPr="004059AD">
              <w:rPr>
                <w:rFonts w:cs="Arial"/>
                <w:i/>
                <w:sz w:val="22"/>
                <w:szCs w:val="22"/>
              </w:rPr>
              <w:t xml:space="preserve">IV. Que con su divulgación se afecte la oportunidad de llevar a cabo </w:t>
            </w:r>
            <w:proofErr w:type="gramStart"/>
            <w:r w:rsidRPr="004059AD">
              <w:rPr>
                <w:rFonts w:cs="Arial"/>
                <w:i/>
                <w:sz w:val="22"/>
                <w:szCs w:val="22"/>
              </w:rPr>
              <w:t>alguna</w:t>
            </w:r>
            <w:proofErr w:type="gramEnd"/>
            <w:r w:rsidRPr="004059AD">
              <w:rPr>
                <w:rFonts w:cs="Arial"/>
                <w:i/>
                <w:sz w:val="22"/>
                <w:szCs w:val="22"/>
              </w:rPr>
              <w:t xml:space="preserve"> de las garantías del debido proceso.</w:t>
            </w:r>
          </w:p>
        </w:tc>
      </w:tr>
      <w:tr w:rsidR="002B53DF" w:rsidRPr="004059AD" w:rsidTr="00E550EE">
        <w:tc>
          <w:tcPr>
            <w:tcW w:w="5211" w:type="dxa"/>
          </w:tcPr>
          <w:p w:rsidR="002B53DF" w:rsidRPr="004059AD" w:rsidRDefault="002B53DF" w:rsidP="006E6122">
            <w:pPr>
              <w:tabs>
                <w:tab w:val="center" w:pos="4419"/>
                <w:tab w:val="right" w:pos="8838"/>
              </w:tabs>
              <w:jc w:val="center"/>
              <w:rPr>
                <w:rFonts w:ascii="Arial" w:hAnsi="Arial" w:cs="Arial"/>
                <w:sz w:val="22"/>
                <w:szCs w:val="22"/>
              </w:rPr>
            </w:pPr>
          </w:p>
          <w:p w:rsidR="002B53DF" w:rsidRPr="004059AD" w:rsidRDefault="002B53DF" w:rsidP="002B53DF">
            <w:pPr>
              <w:tabs>
                <w:tab w:val="center" w:pos="4419"/>
                <w:tab w:val="right" w:pos="8838"/>
              </w:tabs>
              <w:jc w:val="center"/>
              <w:rPr>
                <w:rFonts w:ascii="Arial" w:hAnsi="Arial" w:cs="Arial"/>
                <w:sz w:val="22"/>
                <w:szCs w:val="22"/>
              </w:rPr>
            </w:pPr>
            <w:r w:rsidRPr="004059AD">
              <w:rPr>
                <w:rFonts w:ascii="Arial" w:hAnsi="Arial" w:cs="Arial"/>
                <w:sz w:val="22"/>
                <w:szCs w:val="22"/>
              </w:rPr>
              <w:t>La fecha de clasificación</w:t>
            </w:r>
          </w:p>
        </w:tc>
        <w:tc>
          <w:tcPr>
            <w:tcW w:w="8080" w:type="dxa"/>
          </w:tcPr>
          <w:p w:rsidR="007567E9" w:rsidRPr="004059AD" w:rsidRDefault="007567E9" w:rsidP="00FD22F5">
            <w:pPr>
              <w:tabs>
                <w:tab w:val="center" w:pos="4419"/>
                <w:tab w:val="right" w:pos="8838"/>
              </w:tabs>
              <w:rPr>
                <w:rFonts w:ascii="Arial" w:hAnsi="Arial" w:cs="Arial"/>
                <w:sz w:val="22"/>
                <w:szCs w:val="22"/>
              </w:rPr>
            </w:pPr>
          </w:p>
          <w:p w:rsidR="002B53DF" w:rsidRPr="004059AD" w:rsidRDefault="007567E9" w:rsidP="00FD22F5">
            <w:pPr>
              <w:tabs>
                <w:tab w:val="center" w:pos="4419"/>
                <w:tab w:val="right" w:pos="8838"/>
              </w:tabs>
              <w:rPr>
                <w:rFonts w:ascii="Arial" w:hAnsi="Arial" w:cs="Arial"/>
                <w:sz w:val="22"/>
                <w:szCs w:val="22"/>
              </w:rPr>
            </w:pPr>
            <w:r w:rsidRPr="004059AD">
              <w:rPr>
                <w:rFonts w:ascii="Arial" w:hAnsi="Arial" w:cs="Arial"/>
                <w:sz w:val="22"/>
                <w:szCs w:val="22"/>
              </w:rPr>
              <w:t>30 de noviembre de 2017</w:t>
            </w:r>
          </w:p>
        </w:tc>
      </w:tr>
      <w:tr w:rsidR="002B53DF" w:rsidRPr="004059AD" w:rsidTr="00E550EE">
        <w:tc>
          <w:tcPr>
            <w:tcW w:w="5211" w:type="dxa"/>
          </w:tcPr>
          <w:p w:rsidR="002B53DF" w:rsidRPr="004059AD" w:rsidRDefault="002B53DF" w:rsidP="006E6122">
            <w:pPr>
              <w:tabs>
                <w:tab w:val="center" w:pos="4419"/>
                <w:tab w:val="right" w:pos="8838"/>
              </w:tabs>
              <w:jc w:val="center"/>
              <w:rPr>
                <w:rFonts w:ascii="Arial" w:hAnsi="Arial" w:cs="Arial"/>
                <w:sz w:val="22"/>
                <w:szCs w:val="22"/>
              </w:rPr>
            </w:pPr>
          </w:p>
          <w:p w:rsidR="002B53DF" w:rsidRPr="004059AD" w:rsidRDefault="002B53DF" w:rsidP="006E6122">
            <w:pPr>
              <w:tabs>
                <w:tab w:val="center" w:pos="4419"/>
                <w:tab w:val="right" w:pos="8838"/>
              </w:tabs>
              <w:jc w:val="center"/>
              <w:rPr>
                <w:rFonts w:ascii="Arial" w:hAnsi="Arial" w:cs="Arial"/>
                <w:sz w:val="22"/>
                <w:szCs w:val="22"/>
              </w:rPr>
            </w:pPr>
            <w:r w:rsidRPr="004059AD">
              <w:rPr>
                <w:rFonts w:ascii="Arial" w:hAnsi="Arial" w:cs="Arial"/>
                <w:sz w:val="22"/>
                <w:szCs w:val="22"/>
              </w:rPr>
              <w:t xml:space="preserve">El fundamento legal de la clasificación </w:t>
            </w:r>
          </w:p>
          <w:p w:rsidR="002B53DF" w:rsidRPr="004059AD" w:rsidRDefault="002B53DF" w:rsidP="006E6122">
            <w:pPr>
              <w:tabs>
                <w:tab w:val="center" w:pos="4419"/>
                <w:tab w:val="right" w:pos="8838"/>
              </w:tabs>
              <w:jc w:val="center"/>
              <w:rPr>
                <w:rFonts w:ascii="Arial" w:hAnsi="Arial" w:cs="Arial"/>
                <w:sz w:val="22"/>
                <w:szCs w:val="22"/>
              </w:rPr>
            </w:pPr>
          </w:p>
        </w:tc>
        <w:tc>
          <w:tcPr>
            <w:tcW w:w="8080" w:type="dxa"/>
          </w:tcPr>
          <w:p w:rsidR="007B1AD7" w:rsidRPr="004059AD" w:rsidRDefault="007B1AD7" w:rsidP="007B1AD7">
            <w:pPr>
              <w:rPr>
                <w:rFonts w:ascii="Arial" w:hAnsi="Arial" w:cs="Arial"/>
                <w:sz w:val="22"/>
                <w:szCs w:val="22"/>
              </w:rPr>
            </w:pPr>
            <w:r w:rsidRPr="004059AD">
              <w:rPr>
                <w:rFonts w:ascii="Arial" w:hAnsi="Arial" w:cs="Arial"/>
                <w:b/>
                <w:sz w:val="22"/>
                <w:szCs w:val="22"/>
              </w:rPr>
              <w:t xml:space="preserve">Artículo 113 fracciones VII, VIII, IX, X, XI y XII </w:t>
            </w:r>
            <w:r w:rsidRPr="004059AD">
              <w:rPr>
                <w:rFonts w:ascii="Arial" w:hAnsi="Arial" w:cs="Arial"/>
                <w:sz w:val="22"/>
                <w:szCs w:val="22"/>
              </w:rPr>
              <w:t>de la Ley General de Transparencia y Acceso a la Información Pública.</w:t>
            </w:r>
          </w:p>
          <w:p w:rsidR="007B1AD7" w:rsidRPr="004059AD" w:rsidRDefault="007B1AD7" w:rsidP="007B1AD7">
            <w:pPr>
              <w:rPr>
                <w:rFonts w:ascii="Arial" w:hAnsi="Arial" w:cs="Arial"/>
                <w:b/>
                <w:sz w:val="22"/>
                <w:szCs w:val="22"/>
              </w:rPr>
            </w:pPr>
            <w:r w:rsidRPr="004059AD">
              <w:rPr>
                <w:rFonts w:ascii="Arial" w:hAnsi="Arial" w:cs="Arial"/>
                <w:b/>
                <w:sz w:val="22"/>
                <w:szCs w:val="22"/>
              </w:rPr>
              <w:t xml:space="preserve">Artículo 68 Fracciones III, IV, V, VI, VII, VIII y IX </w:t>
            </w:r>
            <w:r w:rsidRPr="004059AD">
              <w:rPr>
                <w:rFonts w:ascii="Arial" w:hAnsi="Arial" w:cs="Arial"/>
                <w:sz w:val="22"/>
                <w:szCs w:val="22"/>
              </w:rPr>
              <w:t xml:space="preserve"> de la Ley Número 875 de Transparencia y Acceso a la Información Pública para el Estado de Veracruz de Ignacio de la Llave. </w:t>
            </w:r>
          </w:p>
          <w:p w:rsidR="007B1AD7" w:rsidRPr="004059AD" w:rsidRDefault="007B1AD7" w:rsidP="007B1AD7">
            <w:pPr>
              <w:pStyle w:val="Texto0"/>
              <w:spacing w:after="0" w:line="240" w:lineRule="auto"/>
              <w:ind w:firstLine="0"/>
              <w:rPr>
                <w:rFonts w:eastAsia="Calibri" w:cs="Arial"/>
                <w:b/>
                <w:sz w:val="22"/>
                <w:szCs w:val="22"/>
                <w:lang w:val="es-MX" w:eastAsia="en-US"/>
              </w:rPr>
            </w:pPr>
            <w:r w:rsidRPr="004059AD">
              <w:rPr>
                <w:rFonts w:eastAsia="Calibri" w:cs="Arial"/>
                <w:b/>
                <w:sz w:val="22"/>
                <w:szCs w:val="22"/>
                <w:lang w:val="es-MX" w:eastAsia="en-US"/>
              </w:rPr>
              <w:t>Lineamientos Generales en materia de Clasificación y Desclasificación de la Información, así como para la Elaboración de Versiones Públicas:</w:t>
            </w:r>
          </w:p>
          <w:p w:rsidR="007B1AD7" w:rsidRPr="004059AD" w:rsidRDefault="007B1AD7" w:rsidP="007B1AD7">
            <w:pPr>
              <w:rPr>
                <w:rFonts w:ascii="Arial" w:hAnsi="Arial" w:cs="Arial"/>
                <w:i/>
                <w:sz w:val="22"/>
                <w:szCs w:val="22"/>
              </w:rPr>
            </w:pPr>
            <w:r w:rsidRPr="004059AD">
              <w:rPr>
                <w:rFonts w:ascii="Arial" w:hAnsi="Arial" w:cs="Arial"/>
                <w:b/>
                <w:i/>
                <w:sz w:val="22"/>
                <w:szCs w:val="22"/>
              </w:rPr>
              <w:t>Vigésimo sexto.</w:t>
            </w:r>
            <w:r w:rsidRPr="004059AD">
              <w:rPr>
                <w:rFonts w:ascii="Arial" w:hAnsi="Arial" w:cs="Arial"/>
                <w:i/>
                <w:sz w:val="22"/>
                <w:szCs w:val="22"/>
              </w:rPr>
              <w:t xml:space="preserve"> De conformidad con el artículo 113, fracción VII de la Ley General, podrá considerarse como información reservada, aquella que obstruya la prevención de delitos al obstaculizar las acciones implementadas por las autoridades para evitar su comisión, o menoscabar o limitar la capacidad de las autoridades para evitar la comisión de delitos. </w:t>
            </w:r>
          </w:p>
          <w:p w:rsidR="007B1AD7" w:rsidRPr="004059AD" w:rsidRDefault="007B1AD7" w:rsidP="007B1AD7">
            <w:pPr>
              <w:rPr>
                <w:rFonts w:ascii="Arial" w:hAnsi="Arial" w:cs="Arial"/>
                <w:i/>
                <w:sz w:val="22"/>
                <w:szCs w:val="22"/>
              </w:rPr>
            </w:pPr>
            <w:r w:rsidRPr="004059AD">
              <w:rPr>
                <w:rFonts w:ascii="Arial" w:hAnsi="Arial" w:cs="Arial"/>
                <w:i/>
                <w:sz w:val="22"/>
                <w:szCs w:val="22"/>
              </w:rPr>
              <w:t xml:space="preserve">Para que se verifique el supuesto de reserva, cuando se cause un perjuicio a las </w:t>
            </w:r>
            <w:r w:rsidRPr="004059AD">
              <w:rPr>
                <w:rFonts w:ascii="Arial" w:hAnsi="Arial" w:cs="Arial"/>
                <w:i/>
                <w:sz w:val="22"/>
                <w:szCs w:val="22"/>
              </w:rPr>
              <w:lastRenderedPageBreak/>
              <w:t>actividades de persecución de los delitos, deben de actualizarse los siguientes elementos:</w:t>
            </w:r>
          </w:p>
          <w:p w:rsidR="007B1AD7" w:rsidRPr="004059AD" w:rsidRDefault="007B1AD7" w:rsidP="007B1AD7">
            <w:pPr>
              <w:ind w:left="708"/>
              <w:rPr>
                <w:rFonts w:ascii="Arial" w:hAnsi="Arial" w:cs="Arial"/>
                <w:i/>
                <w:sz w:val="22"/>
                <w:szCs w:val="22"/>
              </w:rPr>
            </w:pPr>
            <w:r w:rsidRPr="004059AD">
              <w:rPr>
                <w:rFonts w:ascii="Arial" w:hAnsi="Arial" w:cs="Arial"/>
                <w:i/>
                <w:sz w:val="22"/>
                <w:szCs w:val="22"/>
              </w:rPr>
              <w:t xml:space="preserve"> I. La existencia de un proceso penal en sustanciación o una carpeta de investigación en trámite; </w:t>
            </w:r>
          </w:p>
          <w:p w:rsidR="007B1AD7" w:rsidRPr="004059AD" w:rsidRDefault="007B1AD7" w:rsidP="007B1AD7">
            <w:pPr>
              <w:ind w:left="708"/>
              <w:rPr>
                <w:rFonts w:ascii="Arial" w:hAnsi="Arial" w:cs="Arial"/>
                <w:i/>
                <w:sz w:val="22"/>
                <w:szCs w:val="22"/>
              </w:rPr>
            </w:pPr>
            <w:r w:rsidRPr="004059AD">
              <w:rPr>
                <w:rFonts w:ascii="Arial" w:hAnsi="Arial" w:cs="Arial"/>
                <w:i/>
                <w:sz w:val="22"/>
                <w:szCs w:val="22"/>
              </w:rPr>
              <w:t>II. Que se acredite el vínculo que existe entre la información solicitada y la carpeta de investigación, o el proceso penal, según sea el caso, y</w:t>
            </w:r>
          </w:p>
          <w:p w:rsidR="007B1AD7" w:rsidRPr="004059AD" w:rsidRDefault="007B1AD7" w:rsidP="007B1AD7">
            <w:pPr>
              <w:ind w:left="708"/>
              <w:rPr>
                <w:rFonts w:ascii="Arial" w:hAnsi="Arial" w:cs="Arial"/>
                <w:i/>
                <w:sz w:val="22"/>
                <w:szCs w:val="22"/>
              </w:rPr>
            </w:pPr>
            <w:r w:rsidRPr="004059AD">
              <w:rPr>
                <w:rFonts w:ascii="Arial" w:hAnsi="Arial" w:cs="Arial"/>
                <w:i/>
                <w:sz w:val="22"/>
                <w:szCs w:val="22"/>
              </w:rPr>
              <w:t xml:space="preserve">III. Que la difusión de la información pueda impedir u obstruir las funciones que ejerce el Ministerio Público o su equivalente durante la etapa de investigación o ante los tribunales judiciales con motivo del ejercicio de la acción penal. </w:t>
            </w:r>
          </w:p>
          <w:p w:rsidR="007B1AD7" w:rsidRPr="004059AD" w:rsidRDefault="007B1AD7" w:rsidP="007B1AD7">
            <w:pPr>
              <w:rPr>
                <w:rFonts w:ascii="Arial" w:hAnsi="Arial" w:cs="Arial"/>
                <w:i/>
                <w:sz w:val="22"/>
                <w:szCs w:val="22"/>
              </w:rPr>
            </w:pPr>
            <w:r w:rsidRPr="004059AD">
              <w:rPr>
                <w:rFonts w:ascii="Arial" w:hAnsi="Arial" w:cs="Arial"/>
                <w:b/>
                <w:i/>
                <w:sz w:val="22"/>
                <w:szCs w:val="22"/>
              </w:rPr>
              <w:t>Vigésimo séptimo</w:t>
            </w:r>
            <w:r w:rsidRPr="004059AD">
              <w:rPr>
                <w:rFonts w:ascii="Arial" w:hAnsi="Arial" w:cs="Arial"/>
                <w:i/>
                <w:sz w:val="22"/>
                <w:szCs w:val="22"/>
              </w:rPr>
              <w:t xml:space="preserve">. De conformidad con el artículo 113, fracción VIII de la Ley General, podrá considerarse como información reservada, aquella que contenga las opiniones, recomendaciones o puntos de vista que formen parte del proceso deliberativo de los servidores públicos, hasta en tanto no sea adoptada la decisión definitiva, la cual deberá estar documentada. </w:t>
            </w:r>
          </w:p>
          <w:p w:rsidR="007B1AD7" w:rsidRPr="004059AD" w:rsidRDefault="007B1AD7" w:rsidP="007B1AD7">
            <w:pPr>
              <w:rPr>
                <w:rFonts w:ascii="Arial" w:hAnsi="Arial" w:cs="Arial"/>
                <w:i/>
                <w:sz w:val="22"/>
                <w:szCs w:val="22"/>
              </w:rPr>
            </w:pPr>
            <w:r w:rsidRPr="004059AD">
              <w:rPr>
                <w:rFonts w:ascii="Arial" w:hAnsi="Arial" w:cs="Arial"/>
                <w:i/>
                <w:sz w:val="22"/>
                <w:szCs w:val="22"/>
              </w:rPr>
              <w:t>Para tal efecto, el sujeto obligado deberá acreditar lo siguiente:</w:t>
            </w:r>
          </w:p>
          <w:p w:rsidR="007B1AD7" w:rsidRPr="004059AD" w:rsidRDefault="007B1AD7" w:rsidP="007B1AD7">
            <w:pPr>
              <w:numPr>
                <w:ilvl w:val="0"/>
                <w:numId w:val="13"/>
              </w:numPr>
              <w:ind w:left="1488" w:hanging="720"/>
              <w:rPr>
                <w:rFonts w:ascii="Arial" w:hAnsi="Arial" w:cs="Arial"/>
                <w:i/>
                <w:sz w:val="22"/>
                <w:szCs w:val="22"/>
              </w:rPr>
            </w:pPr>
            <w:r w:rsidRPr="004059AD">
              <w:rPr>
                <w:rFonts w:ascii="Arial" w:hAnsi="Arial" w:cs="Arial"/>
                <w:i/>
                <w:sz w:val="22"/>
                <w:szCs w:val="22"/>
              </w:rPr>
              <w:t xml:space="preserve">La existencia de un proceso deliberativo en curso, precisando la fecha de inicio; </w:t>
            </w:r>
          </w:p>
          <w:p w:rsidR="007B1AD7" w:rsidRPr="004059AD" w:rsidRDefault="007B1AD7" w:rsidP="007B1AD7">
            <w:pPr>
              <w:numPr>
                <w:ilvl w:val="0"/>
                <w:numId w:val="13"/>
              </w:numPr>
              <w:ind w:left="1488" w:hanging="720"/>
              <w:rPr>
                <w:rFonts w:ascii="Arial" w:hAnsi="Arial" w:cs="Arial"/>
                <w:i/>
                <w:sz w:val="22"/>
                <w:szCs w:val="22"/>
              </w:rPr>
            </w:pPr>
            <w:r w:rsidRPr="004059AD">
              <w:rPr>
                <w:rFonts w:ascii="Arial" w:hAnsi="Arial" w:cs="Arial"/>
                <w:i/>
                <w:sz w:val="22"/>
                <w:szCs w:val="22"/>
              </w:rPr>
              <w:t xml:space="preserve"> Que la información consista en opiniones, recomendaciones o puntos de vista de los servidores públicos que participan en el proceso deliberativo; </w:t>
            </w:r>
          </w:p>
          <w:p w:rsidR="007B1AD7" w:rsidRPr="004059AD" w:rsidRDefault="007B1AD7" w:rsidP="007B1AD7">
            <w:pPr>
              <w:numPr>
                <w:ilvl w:val="0"/>
                <w:numId w:val="13"/>
              </w:numPr>
              <w:ind w:left="1488" w:hanging="720"/>
              <w:rPr>
                <w:rFonts w:ascii="Arial" w:hAnsi="Arial" w:cs="Arial"/>
                <w:i/>
                <w:sz w:val="22"/>
                <w:szCs w:val="22"/>
              </w:rPr>
            </w:pPr>
            <w:r w:rsidRPr="004059AD">
              <w:rPr>
                <w:rFonts w:ascii="Arial" w:hAnsi="Arial" w:cs="Arial"/>
                <w:i/>
                <w:sz w:val="22"/>
                <w:szCs w:val="22"/>
              </w:rPr>
              <w:t xml:space="preserve">Que la información se encuentre relacionada, de manera directa, con el proceso deliberativo, y </w:t>
            </w:r>
          </w:p>
          <w:p w:rsidR="007B1AD7" w:rsidRPr="004059AD" w:rsidRDefault="007B1AD7" w:rsidP="007B1AD7">
            <w:pPr>
              <w:numPr>
                <w:ilvl w:val="0"/>
                <w:numId w:val="13"/>
              </w:numPr>
              <w:ind w:left="1488" w:hanging="720"/>
              <w:rPr>
                <w:rFonts w:ascii="Arial" w:hAnsi="Arial" w:cs="Arial"/>
                <w:i/>
                <w:sz w:val="22"/>
                <w:szCs w:val="22"/>
              </w:rPr>
            </w:pPr>
            <w:r w:rsidRPr="004059AD">
              <w:rPr>
                <w:rFonts w:ascii="Arial" w:hAnsi="Arial" w:cs="Arial"/>
                <w:i/>
                <w:sz w:val="22"/>
                <w:szCs w:val="22"/>
              </w:rPr>
              <w:t xml:space="preserve">Que con su difusión se pueda llegar a interrumpir, menoscabar o inhibir el diseño, negociación, determinación o implementación de los asuntos sometidos a deliberación. Cuando se trate de insumos informativos o de apoyo para el proceso deliberativo, únicamente podrá clasificarse aquella información que se encuentre directamente relacionada con la toma de decisiones y que con su difusión pueda llegar a interrumpir, menoscabar o inhibir el diseño, negociación o implementación de los asuntos sometidos a deliberación. Se considera concluido el proceso deliberativo cuando se adopte de manera concluyente la última determinación, sea o no susceptible de ejecución; cuando el proceso haya quedado sin materia, o cuando por cualquier causa no sea posible continuar con su desarrollo. En el caso de que la solicitud de acceso se turne a un área distinta de la </w:t>
            </w:r>
            <w:r w:rsidRPr="004059AD">
              <w:rPr>
                <w:rFonts w:ascii="Arial" w:hAnsi="Arial" w:cs="Arial"/>
                <w:i/>
                <w:sz w:val="22"/>
                <w:szCs w:val="22"/>
              </w:rPr>
              <w:lastRenderedPageBreak/>
              <w:t xml:space="preserve">responsable de tomar la decisión definitiva y se desconozca si ésta ha sido adoptada, el área receptora deberá consultar a la responsable, a efecto de determinar si es procedente otorgar el acceso a la información solicitada. En estos casos, no se interrumpirá el plazo para dar respuesta a la solicitud de información. Tratándose de partidos políticos, se considerará reservada la información relativa a los procesos deliberativos de sus órganos internos; la correspondiente a sus estrategias políticas, así como los estudios, encuestas y análisis utilizados para el desarrollo e implementación de dichas estrategias. </w:t>
            </w:r>
          </w:p>
          <w:p w:rsidR="007B1AD7" w:rsidRPr="004059AD" w:rsidRDefault="007B1AD7" w:rsidP="007B1AD7">
            <w:pPr>
              <w:rPr>
                <w:rFonts w:ascii="Arial" w:hAnsi="Arial" w:cs="Arial"/>
                <w:i/>
                <w:sz w:val="22"/>
                <w:szCs w:val="22"/>
              </w:rPr>
            </w:pPr>
            <w:r w:rsidRPr="004059AD">
              <w:rPr>
                <w:rFonts w:ascii="Arial" w:hAnsi="Arial" w:cs="Arial"/>
                <w:b/>
                <w:i/>
                <w:sz w:val="22"/>
                <w:szCs w:val="22"/>
              </w:rPr>
              <w:t>Vigésimo octavo</w:t>
            </w:r>
            <w:r w:rsidRPr="004059AD">
              <w:rPr>
                <w:rFonts w:ascii="Arial" w:hAnsi="Arial" w:cs="Arial"/>
                <w:i/>
                <w:sz w:val="22"/>
                <w:szCs w:val="22"/>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 </w:t>
            </w:r>
          </w:p>
          <w:p w:rsidR="007B1AD7" w:rsidRPr="004059AD" w:rsidRDefault="007B1AD7" w:rsidP="007B1AD7">
            <w:pPr>
              <w:numPr>
                <w:ilvl w:val="0"/>
                <w:numId w:val="14"/>
              </w:numPr>
              <w:ind w:left="1488"/>
              <w:rPr>
                <w:rFonts w:ascii="Arial" w:hAnsi="Arial" w:cs="Arial"/>
                <w:i/>
                <w:sz w:val="22"/>
                <w:szCs w:val="22"/>
              </w:rPr>
            </w:pPr>
            <w:r w:rsidRPr="004059AD">
              <w:rPr>
                <w:rFonts w:ascii="Arial" w:hAnsi="Arial" w:cs="Arial"/>
                <w:i/>
                <w:sz w:val="22"/>
                <w:szCs w:val="22"/>
              </w:rPr>
              <w:t xml:space="preserve">La existencia de un procedimiento de responsabilidad administrativa en trámite, y </w:t>
            </w:r>
          </w:p>
          <w:p w:rsidR="007B1AD7" w:rsidRPr="004059AD" w:rsidRDefault="007B1AD7" w:rsidP="007B1AD7">
            <w:pPr>
              <w:numPr>
                <w:ilvl w:val="0"/>
                <w:numId w:val="14"/>
              </w:numPr>
              <w:ind w:left="1488"/>
              <w:rPr>
                <w:rFonts w:ascii="Arial" w:hAnsi="Arial" w:cs="Arial"/>
                <w:i/>
                <w:sz w:val="22"/>
                <w:szCs w:val="22"/>
              </w:rPr>
            </w:pPr>
            <w:r w:rsidRPr="004059AD">
              <w:rPr>
                <w:rFonts w:ascii="Arial" w:hAnsi="Arial" w:cs="Arial"/>
                <w:i/>
                <w:sz w:val="22"/>
                <w:szCs w:val="22"/>
              </w:rPr>
              <w:t xml:space="preserve">Que la información se refiera a actuaciones, diligencias y constancias propias del procedimiento de responsabilidad. </w:t>
            </w:r>
          </w:p>
          <w:p w:rsidR="007B1AD7" w:rsidRPr="004059AD" w:rsidRDefault="007B1AD7" w:rsidP="007B1AD7">
            <w:pPr>
              <w:rPr>
                <w:rFonts w:ascii="Arial" w:hAnsi="Arial" w:cs="Arial"/>
                <w:i/>
                <w:sz w:val="22"/>
                <w:szCs w:val="22"/>
              </w:rPr>
            </w:pPr>
            <w:r w:rsidRPr="004059AD">
              <w:rPr>
                <w:rFonts w:ascii="Arial" w:hAnsi="Arial" w:cs="Arial"/>
                <w:b/>
                <w:i/>
                <w:sz w:val="22"/>
                <w:szCs w:val="22"/>
              </w:rPr>
              <w:t>Vigésimo noveno</w:t>
            </w:r>
            <w:r w:rsidRPr="004059AD">
              <w:rPr>
                <w:rFonts w:ascii="Arial" w:hAnsi="Arial" w:cs="Arial"/>
                <w:i/>
                <w:sz w:val="22"/>
                <w:szCs w:val="22"/>
              </w:rPr>
              <w:t xml:space="preserve">. De conformidad con el artículo 113, fracción X de la Ley General, podrá considerarse como información reservada, aquella que de divulgarse afecte el debido proceso al actualizarse los siguientes elementos: </w:t>
            </w:r>
          </w:p>
          <w:p w:rsidR="007B1AD7" w:rsidRPr="004059AD" w:rsidRDefault="007B1AD7" w:rsidP="007B1AD7">
            <w:pPr>
              <w:numPr>
                <w:ilvl w:val="0"/>
                <w:numId w:val="15"/>
              </w:numPr>
              <w:ind w:left="2208"/>
              <w:rPr>
                <w:rFonts w:ascii="Arial" w:hAnsi="Arial" w:cs="Arial"/>
                <w:i/>
                <w:sz w:val="22"/>
                <w:szCs w:val="22"/>
              </w:rPr>
            </w:pPr>
            <w:r w:rsidRPr="004059AD">
              <w:rPr>
                <w:rFonts w:ascii="Arial" w:hAnsi="Arial" w:cs="Arial"/>
                <w:i/>
                <w:sz w:val="22"/>
                <w:szCs w:val="22"/>
              </w:rPr>
              <w:t xml:space="preserve">La existencia de un procedimiento judicial, administrativo o arbitral en trámite; </w:t>
            </w:r>
          </w:p>
          <w:p w:rsidR="007B1AD7" w:rsidRPr="004059AD" w:rsidRDefault="007B1AD7" w:rsidP="007B1AD7">
            <w:pPr>
              <w:numPr>
                <w:ilvl w:val="0"/>
                <w:numId w:val="15"/>
              </w:numPr>
              <w:ind w:left="2208"/>
              <w:rPr>
                <w:rFonts w:ascii="Arial" w:hAnsi="Arial" w:cs="Arial"/>
                <w:i/>
                <w:sz w:val="22"/>
                <w:szCs w:val="22"/>
              </w:rPr>
            </w:pPr>
            <w:r w:rsidRPr="004059AD">
              <w:rPr>
                <w:rFonts w:ascii="Arial" w:hAnsi="Arial" w:cs="Arial"/>
                <w:i/>
                <w:sz w:val="22"/>
                <w:szCs w:val="22"/>
              </w:rPr>
              <w:t xml:space="preserve">Que el sujeto obligado sea parte en ese procedimiento; </w:t>
            </w:r>
          </w:p>
          <w:p w:rsidR="007B1AD7" w:rsidRPr="004059AD" w:rsidRDefault="007B1AD7" w:rsidP="007B1AD7">
            <w:pPr>
              <w:numPr>
                <w:ilvl w:val="0"/>
                <w:numId w:val="15"/>
              </w:numPr>
              <w:ind w:left="2208"/>
              <w:rPr>
                <w:rFonts w:ascii="Arial" w:hAnsi="Arial" w:cs="Arial"/>
                <w:i/>
                <w:sz w:val="22"/>
                <w:szCs w:val="22"/>
              </w:rPr>
            </w:pPr>
            <w:r w:rsidRPr="004059AD">
              <w:rPr>
                <w:rFonts w:ascii="Arial" w:hAnsi="Arial" w:cs="Arial"/>
                <w:i/>
                <w:sz w:val="22"/>
                <w:szCs w:val="22"/>
              </w:rPr>
              <w:t xml:space="preserve">Que la información no sea conocida por la contraparte antes de la presentación de la misma en el proceso, y </w:t>
            </w:r>
          </w:p>
          <w:p w:rsidR="007B1AD7" w:rsidRPr="004059AD" w:rsidRDefault="007B1AD7" w:rsidP="007B1AD7">
            <w:pPr>
              <w:numPr>
                <w:ilvl w:val="0"/>
                <w:numId w:val="15"/>
              </w:numPr>
              <w:ind w:left="2208"/>
              <w:rPr>
                <w:rFonts w:ascii="Arial" w:hAnsi="Arial" w:cs="Arial"/>
                <w:i/>
                <w:sz w:val="22"/>
                <w:szCs w:val="22"/>
              </w:rPr>
            </w:pPr>
            <w:r w:rsidRPr="004059AD">
              <w:rPr>
                <w:rFonts w:ascii="Arial" w:hAnsi="Arial" w:cs="Arial"/>
                <w:i/>
                <w:sz w:val="22"/>
                <w:szCs w:val="22"/>
              </w:rPr>
              <w:t xml:space="preserve">Que con su divulgación se afecte la oportunidad de llevar a cabo </w:t>
            </w:r>
            <w:proofErr w:type="gramStart"/>
            <w:r w:rsidRPr="004059AD">
              <w:rPr>
                <w:rFonts w:ascii="Arial" w:hAnsi="Arial" w:cs="Arial"/>
                <w:i/>
                <w:sz w:val="22"/>
                <w:szCs w:val="22"/>
              </w:rPr>
              <w:t>alguna</w:t>
            </w:r>
            <w:proofErr w:type="gramEnd"/>
            <w:r w:rsidRPr="004059AD">
              <w:rPr>
                <w:rFonts w:ascii="Arial" w:hAnsi="Arial" w:cs="Arial"/>
                <w:i/>
                <w:sz w:val="22"/>
                <w:szCs w:val="22"/>
              </w:rPr>
              <w:t xml:space="preserve"> de las garantías del debido proceso. </w:t>
            </w:r>
          </w:p>
          <w:p w:rsidR="007B1AD7" w:rsidRPr="004059AD" w:rsidRDefault="007B1AD7" w:rsidP="007B1AD7">
            <w:pPr>
              <w:rPr>
                <w:rFonts w:ascii="Arial" w:hAnsi="Arial" w:cs="Arial"/>
                <w:i/>
                <w:sz w:val="22"/>
                <w:szCs w:val="22"/>
              </w:rPr>
            </w:pPr>
            <w:r w:rsidRPr="004059AD">
              <w:rPr>
                <w:rFonts w:ascii="Arial" w:hAnsi="Arial" w:cs="Arial"/>
                <w:b/>
                <w:i/>
                <w:sz w:val="22"/>
                <w:szCs w:val="22"/>
              </w:rPr>
              <w:t>Trigésimo.</w:t>
            </w:r>
            <w:r w:rsidRPr="004059AD">
              <w:rPr>
                <w:rFonts w:ascii="Arial" w:hAnsi="Arial" w:cs="Arial"/>
                <w:i/>
                <w:sz w:val="22"/>
                <w:szCs w:val="22"/>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rsidR="007B1AD7" w:rsidRPr="004059AD" w:rsidRDefault="007B1AD7" w:rsidP="007B1AD7">
            <w:pPr>
              <w:numPr>
                <w:ilvl w:val="0"/>
                <w:numId w:val="16"/>
              </w:numPr>
              <w:ind w:left="2136"/>
              <w:rPr>
                <w:rFonts w:ascii="Arial" w:hAnsi="Arial" w:cs="Arial"/>
                <w:i/>
                <w:sz w:val="22"/>
                <w:szCs w:val="22"/>
              </w:rPr>
            </w:pPr>
            <w:r w:rsidRPr="004059AD">
              <w:rPr>
                <w:rFonts w:ascii="Arial" w:hAnsi="Arial" w:cs="Arial"/>
                <w:i/>
                <w:sz w:val="22"/>
                <w:szCs w:val="22"/>
              </w:rPr>
              <w:t xml:space="preserve">La existencia de un juicio o procedimiento administrativo materialmente jurisdiccional, que se encuentre en trámite, y </w:t>
            </w:r>
          </w:p>
          <w:p w:rsidR="007B1AD7" w:rsidRPr="004059AD" w:rsidRDefault="007B1AD7" w:rsidP="007B1AD7">
            <w:pPr>
              <w:numPr>
                <w:ilvl w:val="0"/>
                <w:numId w:val="16"/>
              </w:numPr>
              <w:ind w:left="2136"/>
              <w:rPr>
                <w:rFonts w:ascii="Arial" w:hAnsi="Arial" w:cs="Arial"/>
                <w:i/>
                <w:sz w:val="22"/>
                <w:szCs w:val="22"/>
              </w:rPr>
            </w:pPr>
            <w:r w:rsidRPr="004059AD">
              <w:rPr>
                <w:rFonts w:ascii="Arial" w:hAnsi="Arial" w:cs="Arial"/>
                <w:i/>
                <w:sz w:val="22"/>
                <w:szCs w:val="22"/>
              </w:rPr>
              <w:lastRenderedPageBreak/>
              <w:t xml:space="preserve">Que la información solicitada se refiera a actuaciones, diligencias o constancias propias del procedimiento. Para los efectos del primer párrafo de este numeral, se considera procedimiento seguido en forma de juicio a aquel formalmente administrativo, pero materialmente jurisdiccional; esto es, en el que concurran los siguientes elementos: </w:t>
            </w:r>
          </w:p>
          <w:p w:rsidR="007B1AD7" w:rsidRPr="004059AD" w:rsidRDefault="007B1AD7" w:rsidP="007B1AD7">
            <w:pPr>
              <w:ind w:left="2136"/>
              <w:rPr>
                <w:rFonts w:ascii="Arial" w:hAnsi="Arial" w:cs="Arial"/>
                <w:i/>
                <w:sz w:val="22"/>
                <w:szCs w:val="22"/>
              </w:rPr>
            </w:pPr>
            <w:r w:rsidRPr="004059AD">
              <w:rPr>
                <w:rFonts w:ascii="Arial" w:hAnsi="Arial" w:cs="Arial"/>
                <w:i/>
                <w:sz w:val="22"/>
                <w:szCs w:val="22"/>
              </w:rPr>
              <w:t xml:space="preserve">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rsidR="007B1AD7" w:rsidRPr="004059AD" w:rsidRDefault="007B1AD7" w:rsidP="007B1AD7">
            <w:pPr>
              <w:ind w:left="2136"/>
              <w:rPr>
                <w:rFonts w:ascii="Arial" w:hAnsi="Arial" w:cs="Arial"/>
                <w:i/>
                <w:sz w:val="22"/>
                <w:szCs w:val="22"/>
              </w:rPr>
            </w:pPr>
            <w:r w:rsidRPr="004059AD">
              <w:rPr>
                <w:rFonts w:ascii="Arial" w:hAnsi="Arial" w:cs="Arial"/>
                <w:i/>
                <w:sz w:val="22"/>
                <w:szCs w:val="22"/>
              </w:rPr>
              <w:t>2. Que se cumplan las formalidades esenciales del procedimiento.</w:t>
            </w:r>
          </w:p>
          <w:p w:rsidR="002B53DF" w:rsidRPr="004059AD" w:rsidRDefault="007B1AD7" w:rsidP="007B1AD7">
            <w:pPr>
              <w:rPr>
                <w:rFonts w:ascii="Arial" w:hAnsi="Arial" w:cs="Arial"/>
                <w:sz w:val="22"/>
                <w:szCs w:val="22"/>
              </w:rPr>
            </w:pPr>
            <w:r w:rsidRPr="004059AD">
              <w:rPr>
                <w:rFonts w:ascii="Arial" w:hAnsi="Arial" w:cs="Arial"/>
                <w:b/>
                <w:i/>
                <w:sz w:val="22"/>
                <w:szCs w:val="22"/>
              </w:rPr>
              <w:t>Trigésimo primero.</w:t>
            </w:r>
            <w:r w:rsidRPr="004059AD">
              <w:rPr>
                <w:rFonts w:ascii="Arial" w:hAnsi="Arial" w:cs="Arial"/>
                <w:i/>
                <w:sz w:val="22"/>
                <w:szCs w:val="22"/>
              </w:rPr>
              <w:t xml:space="preserve"> De conformidad con el artículo 113, fracción XII de la Ley General, podrá considerarse como información reservada, aquella que forme parte de las averiguaciones previas o carpetas de investigación que resulte de la etapa de investigación, durante la cual, de conformidad con la normativa en materia penal, el Ministerio Público o su equivalente reúne indicios para el esclarecimiento de los hechos y, en su caso, los datos de prueba para sustentar el ejercicio o no de la acción penal, la acusación contra el imputado y la reparación del daño</w:t>
            </w:r>
          </w:p>
        </w:tc>
      </w:tr>
      <w:tr w:rsidR="00766804" w:rsidRPr="004059AD" w:rsidTr="00E550EE">
        <w:tc>
          <w:tcPr>
            <w:tcW w:w="5211" w:type="dxa"/>
          </w:tcPr>
          <w:p w:rsidR="00766804" w:rsidRPr="004059AD" w:rsidRDefault="00766804" w:rsidP="006E6122">
            <w:pPr>
              <w:tabs>
                <w:tab w:val="center" w:pos="4419"/>
                <w:tab w:val="right" w:pos="8838"/>
              </w:tabs>
              <w:jc w:val="center"/>
              <w:rPr>
                <w:rFonts w:ascii="Arial" w:hAnsi="Arial" w:cs="Arial"/>
                <w:sz w:val="22"/>
                <w:szCs w:val="22"/>
              </w:rPr>
            </w:pPr>
          </w:p>
          <w:p w:rsidR="00766804" w:rsidRPr="004059AD" w:rsidRDefault="00766804" w:rsidP="006E6122">
            <w:pPr>
              <w:tabs>
                <w:tab w:val="center" w:pos="4419"/>
                <w:tab w:val="right" w:pos="8838"/>
              </w:tabs>
              <w:jc w:val="center"/>
              <w:rPr>
                <w:rFonts w:ascii="Arial" w:hAnsi="Arial" w:cs="Arial"/>
                <w:sz w:val="22"/>
                <w:szCs w:val="22"/>
              </w:rPr>
            </w:pPr>
            <w:r w:rsidRPr="004059AD">
              <w:rPr>
                <w:rFonts w:ascii="Arial" w:hAnsi="Arial" w:cs="Arial"/>
                <w:sz w:val="22"/>
                <w:szCs w:val="22"/>
              </w:rPr>
              <w:t xml:space="preserve">Razones y motivos de la clasificación </w:t>
            </w:r>
          </w:p>
          <w:p w:rsidR="00766804" w:rsidRPr="004059AD" w:rsidRDefault="00766804" w:rsidP="006E6122">
            <w:pPr>
              <w:tabs>
                <w:tab w:val="center" w:pos="4419"/>
                <w:tab w:val="right" w:pos="8838"/>
              </w:tabs>
              <w:jc w:val="center"/>
              <w:rPr>
                <w:rFonts w:ascii="Arial" w:hAnsi="Arial" w:cs="Arial"/>
                <w:sz w:val="22"/>
                <w:szCs w:val="22"/>
              </w:rPr>
            </w:pPr>
          </w:p>
        </w:tc>
        <w:tc>
          <w:tcPr>
            <w:tcW w:w="8080" w:type="dxa"/>
          </w:tcPr>
          <w:p w:rsidR="007B1AD7" w:rsidRPr="004059AD" w:rsidRDefault="007B1AD7" w:rsidP="007B1AD7">
            <w:pPr>
              <w:rPr>
                <w:rFonts w:ascii="Arial" w:hAnsi="Arial" w:cs="Arial"/>
                <w:i/>
                <w:sz w:val="22"/>
                <w:szCs w:val="22"/>
              </w:rPr>
            </w:pPr>
            <w:r w:rsidRPr="004059AD">
              <w:rPr>
                <w:rFonts w:ascii="Arial" w:hAnsi="Arial" w:cs="Arial"/>
                <w:i/>
                <w:sz w:val="22"/>
                <w:szCs w:val="22"/>
              </w:rPr>
              <w:t xml:space="preserve">Referente a la Secretaría de Desarrollo Agropecuario, Rural y Pesca (SEDARPA), el Decreto Número 920 que Aprueba el Informe del Resultado de las Cuentas Públicas de los Entes Fiscalizables del Estado de Veracruz, correspondientes al Ejercicio dos mil quince, se estableció la existencia de probable daño patrimonial en contra de dicho Ente.  </w:t>
            </w:r>
          </w:p>
          <w:p w:rsidR="007B1AD7" w:rsidRPr="004059AD" w:rsidRDefault="007B1AD7" w:rsidP="007B1AD7">
            <w:pPr>
              <w:rPr>
                <w:rFonts w:ascii="Arial" w:hAnsi="Arial" w:cs="Arial"/>
                <w:i/>
                <w:sz w:val="22"/>
                <w:szCs w:val="22"/>
              </w:rPr>
            </w:pPr>
            <w:r w:rsidRPr="004059AD">
              <w:rPr>
                <w:rFonts w:ascii="Arial" w:hAnsi="Arial" w:cs="Arial"/>
                <w:i/>
                <w:sz w:val="22"/>
                <w:szCs w:val="22"/>
              </w:rPr>
              <w:t xml:space="preserve">En este sentido, dentro  del procedimiento para la Determinación de Responsabilidades y </w:t>
            </w:r>
            <w:proofErr w:type="spellStart"/>
            <w:r w:rsidRPr="004059AD">
              <w:rPr>
                <w:rFonts w:ascii="Arial" w:hAnsi="Arial" w:cs="Arial"/>
                <w:i/>
                <w:sz w:val="22"/>
                <w:szCs w:val="22"/>
              </w:rPr>
              <w:t>Fincamiento</w:t>
            </w:r>
            <w:proofErr w:type="spellEnd"/>
            <w:r w:rsidRPr="004059AD">
              <w:rPr>
                <w:rFonts w:ascii="Arial" w:hAnsi="Arial" w:cs="Arial"/>
                <w:i/>
                <w:sz w:val="22"/>
                <w:szCs w:val="22"/>
              </w:rPr>
              <w:t xml:space="preserve"> de Indemnizaciones se determinó, a los ex servidores públicos involucrados, la correspondiente indemnización y sanción económica, a través de la resolución respectiva, la cual se encuentra controvertida en la Sala Regional Zona Centro del Tribunal de lo Contencioso Administrativo.</w:t>
            </w:r>
          </w:p>
          <w:p w:rsidR="007B1AD7" w:rsidRPr="004059AD" w:rsidRDefault="007B1AD7" w:rsidP="007B1AD7">
            <w:pPr>
              <w:rPr>
                <w:rFonts w:ascii="Arial" w:hAnsi="Arial" w:cs="Arial"/>
                <w:i/>
                <w:sz w:val="22"/>
                <w:szCs w:val="22"/>
              </w:rPr>
            </w:pPr>
          </w:p>
          <w:p w:rsidR="007B1AD7" w:rsidRPr="004059AD" w:rsidRDefault="007B1AD7" w:rsidP="007B1AD7">
            <w:pPr>
              <w:rPr>
                <w:rFonts w:ascii="Arial" w:hAnsi="Arial" w:cs="Arial"/>
                <w:i/>
                <w:sz w:val="22"/>
                <w:szCs w:val="22"/>
              </w:rPr>
            </w:pPr>
            <w:r w:rsidRPr="004059AD">
              <w:rPr>
                <w:rFonts w:ascii="Arial" w:hAnsi="Arial" w:cs="Arial"/>
                <w:i/>
                <w:sz w:val="22"/>
                <w:szCs w:val="22"/>
              </w:rPr>
              <w:t xml:space="preserve">De manera paralela a la emisión de dicha Resolución,  se dio trámite a la denuncia penal presentada ante  la Fiscalía General del Estado con número de carpeta de investigación C.I./FESP/532/2017/V-06. </w:t>
            </w:r>
          </w:p>
          <w:p w:rsidR="007B1AD7" w:rsidRPr="004059AD" w:rsidRDefault="007B1AD7" w:rsidP="007B1AD7">
            <w:pPr>
              <w:rPr>
                <w:rFonts w:ascii="Arial" w:hAnsi="Arial" w:cs="Arial"/>
                <w:i/>
                <w:sz w:val="22"/>
                <w:szCs w:val="22"/>
              </w:rPr>
            </w:pPr>
          </w:p>
          <w:p w:rsidR="007B1AD7" w:rsidRPr="004059AD" w:rsidRDefault="007B1AD7" w:rsidP="007B1AD7">
            <w:pPr>
              <w:rPr>
                <w:rFonts w:ascii="Arial" w:hAnsi="Arial" w:cs="Arial"/>
                <w:i/>
                <w:sz w:val="22"/>
                <w:szCs w:val="22"/>
              </w:rPr>
            </w:pPr>
            <w:r w:rsidRPr="004059AD">
              <w:rPr>
                <w:rFonts w:ascii="Arial" w:hAnsi="Arial" w:cs="Arial"/>
                <w:i/>
                <w:sz w:val="22"/>
                <w:szCs w:val="22"/>
              </w:rPr>
              <w:t xml:space="preserve">Por cuanto hace al procedimiento de Fiscalización Superior de la Cuenta Pública 2016, el Decreto Número 349 que Aprueba el Informe del Resultado de las Cuentas Públicas de los Entes Fiscalizables del Estado de Veracruz, correspondientes al ejercicio dos mil dieciséis, se instruye al ORFIS para que inicie con el Procedimiento para la Determinación de Responsabilidades y </w:t>
            </w:r>
            <w:proofErr w:type="spellStart"/>
            <w:r w:rsidRPr="004059AD">
              <w:rPr>
                <w:rFonts w:ascii="Arial" w:hAnsi="Arial" w:cs="Arial"/>
                <w:i/>
                <w:sz w:val="22"/>
                <w:szCs w:val="22"/>
              </w:rPr>
              <w:t>Fincamiento</w:t>
            </w:r>
            <w:proofErr w:type="spellEnd"/>
            <w:r w:rsidRPr="004059AD">
              <w:rPr>
                <w:rFonts w:ascii="Arial" w:hAnsi="Arial" w:cs="Arial"/>
                <w:i/>
                <w:sz w:val="22"/>
                <w:szCs w:val="22"/>
              </w:rPr>
              <w:t xml:space="preserve"> de Indemnizaciones , en contra de la Secretaría de Desarrollo  Agropecuario, Rural y Pesca (SEDARPA), información que este Comité ya reservó mediante Acuerdo CT/06-11-2017/005 de fecha seis de noviembre del presente año. </w:t>
            </w:r>
          </w:p>
          <w:p w:rsidR="007B1AD7" w:rsidRPr="004059AD" w:rsidRDefault="007B1AD7" w:rsidP="007B1AD7">
            <w:pPr>
              <w:rPr>
                <w:rFonts w:ascii="Arial" w:hAnsi="Arial" w:cs="Arial"/>
                <w:i/>
                <w:sz w:val="22"/>
                <w:szCs w:val="22"/>
              </w:rPr>
            </w:pPr>
          </w:p>
          <w:p w:rsidR="007B1AD7" w:rsidRPr="004059AD" w:rsidRDefault="007B1AD7" w:rsidP="007B1AD7">
            <w:pPr>
              <w:rPr>
                <w:rFonts w:ascii="Arial" w:hAnsi="Arial" w:cs="Arial"/>
                <w:i/>
                <w:sz w:val="22"/>
                <w:szCs w:val="22"/>
              </w:rPr>
            </w:pPr>
            <w:r w:rsidRPr="004059AD">
              <w:rPr>
                <w:rFonts w:ascii="Arial" w:hAnsi="Arial" w:cs="Arial"/>
                <w:i/>
                <w:sz w:val="22"/>
                <w:szCs w:val="22"/>
              </w:rPr>
              <w:t>Sin embargo, mediante el Decreto en cita también se instruyó al ORFIS para formular la denuncia penal respectiva ante la Fiscalía General del Estado; denuncia que ya se presentó y a la que se le asignó número de carpeta de investigación FGE/FIM/F10/C.I./342/2017.</w:t>
            </w:r>
          </w:p>
          <w:p w:rsidR="007B1AD7" w:rsidRPr="004059AD" w:rsidRDefault="007B1AD7" w:rsidP="007B1AD7">
            <w:pPr>
              <w:rPr>
                <w:rFonts w:ascii="Arial" w:hAnsi="Arial" w:cs="Arial"/>
                <w:i/>
                <w:sz w:val="22"/>
                <w:szCs w:val="22"/>
              </w:rPr>
            </w:pPr>
          </w:p>
          <w:p w:rsidR="00766804" w:rsidRPr="004059AD" w:rsidRDefault="007B1AD7" w:rsidP="007B1AD7">
            <w:pPr>
              <w:rPr>
                <w:rFonts w:ascii="Arial" w:hAnsi="Arial" w:cs="Arial"/>
                <w:i/>
                <w:sz w:val="22"/>
                <w:szCs w:val="22"/>
              </w:rPr>
            </w:pPr>
            <w:r w:rsidRPr="004059AD">
              <w:rPr>
                <w:rFonts w:ascii="Arial" w:hAnsi="Arial" w:cs="Arial"/>
                <w:i/>
                <w:sz w:val="22"/>
                <w:szCs w:val="22"/>
              </w:rPr>
              <w:t xml:space="preserve">En razón de lo anterior, la información relativa  deberá considerarse de carácter reservado, ya que forma parte de procesos administrativos y penales que no han causado </w:t>
            </w:r>
            <w:proofErr w:type="spellStart"/>
            <w:r w:rsidRPr="004059AD">
              <w:rPr>
                <w:rFonts w:ascii="Arial" w:hAnsi="Arial" w:cs="Arial"/>
                <w:i/>
                <w:sz w:val="22"/>
                <w:szCs w:val="22"/>
              </w:rPr>
              <w:t>definitividad</w:t>
            </w:r>
            <w:proofErr w:type="spellEnd"/>
            <w:r w:rsidRPr="004059AD">
              <w:rPr>
                <w:rFonts w:ascii="Arial" w:hAnsi="Arial" w:cs="Arial"/>
                <w:i/>
                <w:sz w:val="22"/>
                <w:szCs w:val="22"/>
              </w:rPr>
              <w:t>.</w:t>
            </w:r>
          </w:p>
          <w:p w:rsidR="007B1AD7" w:rsidRPr="004059AD" w:rsidRDefault="007B1AD7" w:rsidP="007B1AD7">
            <w:pPr>
              <w:rPr>
                <w:rFonts w:ascii="Arial" w:hAnsi="Arial" w:cs="Arial"/>
                <w:i/>
                <w:sz w:val="22"/>
                <w:szCs w:val="22"/>
              </w:rPr>
            </w:pPr>
          </w:p>
          <w:p w:rsidR="007B1AD7" w:rsidRPr="004059AD" w:rsidRDefault="007B1AD7" w:rsidP="007B1AD7">
            <w:pPr>
              <w:rPr>
                <w:rFonts w:ascii="Arial" w:hAnsi="Arial" w:cs="Arial"/>
                <w:b/>
                <w:sz w:val="22"/>
                <w:szCs w:val="22"/>
              </w:rPr>
            </w:pPr>
            <w:r w:rsidRPr="004059AD">
              <w:rPr>
                <w:rFonts w:ascii="Arial" w:hAnsi="Arial" w:cs="Arial"/>
                <w:b/>
                <w:sz w:val="22"/>
                <w:szCs w:val="22"/>
              </w:rPr>
              <w:t>Supuesto del Artículo 70 fracción I</w:t>
            </w:r>
          </w:p>
          <w:p w:rsidR="007B1AD7" w:rsidRPr="004059AD" w:rsidRDefault="007B1AD7" w:rsidP="007B1AD7">
            <w:pPr>
              <w:rPr>
                <w:rFonts w:ascii="Arial" w:hAnsi="Arial" w:cs="Arial"/>
                <w:sz w:val="22"/>
                <w:szCs w:val="22"/>
              </w:rPr>
            </w:pPr>
            <w:r w:rsidRPr="004059AD">
              <w:rPr>
                <w:rFonts w:ascii="Arial" w:hAnsi="Arial" w:cs="Arial"/>
                <w:sz w:val="22"/>
                <w:szCs w:val="22"/>
              </w:rPr>
              <w:t>De los argumentos expuestos en el renglón que precede se advierte que corresponden legítimamente a la hipótesis contenidas en el artículo 113 fracciones VII, VIII, IX, X, XI y XII de la Ley General de Transparencia y Acceso a la Información Pública, así como el artículo 68 fracciones III, IV, V, VI, VII, VIII y XI de la Ley Número 875 de Transparencia y Acceso a la Información Pública para el Estado de Veracruz de Ignacio de la Llave y numerales vigésimo sexto, vigésimo octavo, vigésimo noveno  trigésimo y trigésimo primero de Lineamientos Generales en materia de Clasificación y Desclasificación de la Información, así como para la Elaboración de Versiones Públicas.</w:t>
            </w:r>
          </w:p>
          <w:p w:rsidR="007B1AD7" w:rsidRPr="004059AD" w:rsidRDefault="007B1AD7" w:rsidP="007B1AD7">
            <w:pPr>
              <w:rPr>
                <w:rFonts w:ascii="Arial" w:hAnsi="Arial" w:cs="Arial"/>
                <w:b/>
                <w:sz w:val="22"/>
                <w:szCs w:val="22"/>
              </w:rPr>
            </w:pPr>
          </w:p>
          <w:p w:rsidR="007B1AD7" w:rsidRPr="004059AD" w:rsidRDefault="007B1AD7" w:rsidP="007B1AD7">
            <w:pPr>
              <w:rPr>
                <w:rFonts w:ascii="Arial" w:hAnsi="Arial" w:cs="Arial"/>
                <w:b/>
                <w:sz w:val="22"/>
                <w:szCs w:val="22"/>
              </w:rPr>
            </w:pPr>
            <w:r w:rsidRPr="004059AD">
              <w:rPr>
                <w:rFonts w:ascii="Arial" w:hAnsi="Arial" w:cs="Arial"/>
                <w:b/>
                <w:sz w:val="22"/>
                <w:szCs w:val="22"/>
              </w:rPr>
              <w:t>Supuesto del Artículo 70 fracción II</w:t>
            </w:r>
          </w:p>
          <w:p w:rsidR="007B1AD7" w:rsidRPr="004059AD" w:rsidRDefault="007B1AD7" w:rsidP="007B1AD7">
            <w:pPr>
              <w:rPr>
                <w:rFonts w:ascii="Arial" w:hAnsi="Arial" w:cs="Arial"/>
                <w:sz w:val="22"/>
                <w:szCs w:val="22"/>
              </w:rPr>
            </w:pPr>
            <w:r w:rsidRPr="004059AD">
              <w:rPr>
                <w:rFonts w:ascii="Arial" w:hAnsi="Arial" w:cs="Arial"/>
                <w:sz w:val="22"/>
                <w:szCs w:val="22"/>
              </w:rPr>
              <w:t xml:space="preserve">El interés protegido es el cumplimiento del procedimiento de fiscalización superior en la Segunda Fase de </w:t>
            </w:r>
            <w:r w:rsidRPr="004059AD">
              <w:rPr>
                <w:rFonts w:ascii="Arial" w:hAnsi="Arial" w:cs="Arial"/>
                <w:i/>
                <w:sz w:val="22"/>
                <w:szCs w:val="22"/>
              </w:rPr>
              <w:t xml:space="preserve">Determinación de Responsabilidades y </w:t>
            </w:r>
            <w:proofErr w:type="spellStart"/>
            <w:r w:rsidRPr="004059AD">
              <w:rPr>
                <w:rFonts w:ascii="Arial" w:hAnsi="Arial" w:cs="Arial"/>
                <w:i/>
                <w:sz w:val="22"/>
                <w:szCs w:val="22"/>
              </w:rPr>
              <w:t>Fincamiento</w:t>
            </w:r>
            <w:proofErr w:type="spellEnd"/>
            <w:r w:rsidRPr="004059AD">
              <w:rPr>
                <w:rFonts w:ascii="Arial" w:hAnsi="Arial" w:cs="Arial"/>
                <w:i/>
                <w:sz w:val="22"/>
                <w:szCs w:val="22"/>
              </w:rPr>
              <w:t xml:space="preserve"> de Indemnizaciones y Sanciones</w:t>
            </w:r>
            <w:r w:rsidRPr="004059AD">
              <w:rPr>
                <w:rFonts w:ascii="Arial" w:hAnsi="Arial" w:cs="Arial"/>
                <w:sz w:val="22"/>
                <w:szCs w:val="22"/>
              </w:rPr>
              <w:t>, mismo que se regula en la Ley Número 584 de Fiscalización Superior y Rendición de Cuentas para el Estado de Veracruz de Ignacio de la Llave</w:t>
            </w:r>
          </w:p>
          <w:p w:rsidR="007B1AD7" w:rsidRPr="004059AD" w:rsidRDefault="007B1AD7" w:rsidP="007B1AD7">
            <w:pPr>
              <w:rPr>
                <w:rFonts w:ascii="Arial" w:hAnsi="Arial" w:cs="Arial"/>
                <w:sz w:val="22"/>
                <w:szCs w:val="22"/>
              </w:rPr>
            </w:pPr>
          </w:p>
          <w:p w:rsidR="007B1AD7" w:rsidRPr="004059AD" w:rsidRDefault="007B1AD7" w:rsidP="007B1AD7">
            <w:pPr>
              <w:rPr>
                <w:rFonts w:ascii="Arial" w:hAnsi="Arial" w:cs="Arial"/>
                <w:b/>
                <w:sz w:val="22"/>
                <w:szCs w:val="22"/>
              </w:rPr>
            </w:pPr>
            <w:r w:rsidRPr="004059AD">
              <w:rPr>
                <w:rFonts w:ascii="Arial" w:hAnsi="Arial" w:cs="Arial"/>
                <w:b/>
                <w:sz w:val="22"/>
                <w:szCs w:val="22"/>
              </w:rPr>
              <w:t>Supuesto del Artículo 70 fracción III</w:t>
            </w:r>
          </w:p>
          <w:p w:rsidR="007B1AD7" w:rsidRPr="004059AD" w:rsidRDefault="007B1AD7" w:rsidP="007B1AD7">
            <w:pPr>
              <w:rPr>
                <w:rFonts w:ascii="Arial" w:hAnsi="Arial" w:cs="Arial"/>
                <w:i/>
                <w:sz w:val="22"/>
                <w:szCs w:val="22"/>
              </w:rPr>
            </w:pPr>
            <w:r w:rsidRPr="004059AD">
              <w:rPr>
                <w:rFonts w:ascii="Arial" w:hAnsi="Arial" w:cs="Arial"/>
                <w:sz w:val="22"/>
                <w:szCs w:val="22"/>
              </w:rPr>
              <w:t>La entrega de la información incidiría en los procedimientos que se instruyen para fincar responsabilidades y se afectarían los derechos del debido proceso; asimismo, se vulneraría la conducción de los expedientes previo a la emisión de las resoluciones correspondiente, así como las actuaciones de la Fiscalía General del Estado, por lo que el interés protegido es mayor al interés público de conocerla.</w:t>
            </w:r>
          </w:p>
        </w:tc>
      </w:tr>
      <w:tr w:rsidR="00766804" w:rsidRPr="004059AD" w:rsidTr="00E550EE">
        <w:tc>
          <w:tcPr>
            <w:tcW w:w="5211" w:type="dxa"/>
          </w:tcPr>
          <w:p w:rsidR="00766804" w:rsidRPr="004F0D69" w:rsidRDefault="00766804" w:rsidP="006E6122">
            <w:pPr>
              <w:tabs>
                <w:tab w:val="center" w:pos="4419"/>
                <w:tab w:val="right" w:pos="8838"/>
              </w:tabs>
              <w:jc w:val="center"/>
              <w:rPr>
                <w:rFonts w:ascii="Arial" w:hAnsi="Arial" w:cs="Arial"/>
                <w:sz w:val="22"/>
                <w:szCs w:val="22"/>
              </w:rPr>
            </w:pPr>
          </w:p>
          <w:p w:rsidR="00766804" w:rsidRPr="004F0D69" w:rsidRDefault="00766804" w:rsidP="006E6122">
            <w:pPr>
              <w:tabs>
                <w:tab w:val="center" w:pos="4419"/>
                <w:tab w:val="right" w:pos="8838"/>
              </w:tabs>
              <w:jc w:val="center"/>
              <w:rPr>
                <w:rFonts w:ascii="Arial" w:hAnsi="Arial" w:cs="Arial"/>
                <w:sz w:val="22"/>
                <w:szCs w:val="22"/>
              </w:rPr>
            </w:pPr>
            <w:r w:rsidRPr="004F0D69">
              <w:rPr>
                <w:rFonts w:ascii="Arial" w:hAnsi="Arial" w:cs="Arial"/>
                <w:sz w:val="22"/>
                <w:szCs w:val="22"/>
              </w:rPr>
              <w:t xml:space="preserve">Señalar si se trata de una clasificación completa o parcial </w:t>
            </w:r>
          </w:p>
          <w:p w:rsidR="00766804" w:rsidRPr="004F0D69" w:rsidRDefault="00766804" w:rsidP="006E6122">
            <w:pPr>
              <w:tabs>
                <w:tab w:val="center" w:pos="4419"/>
                <w:tab w:val="right" w:pos="8838"/>
              </w:tabs>
              <w:jc w:val="center"/>
              <w:rPr>
                <w:rFonts w:ascii="Arial" w:hAnsi="Arial" w:cs="Arial"/>
                <w:sz w:val="22"/>
                <w:szCs w:val="22"/>
              </w:rPr>
            </w:pPr>
          </w:p>
        </w:tc>
        <w:tc>
          <w:tcPr>
            <w:tcW w:w="8080" w:type="dxa"/>
          </w:tcPr>
          <w:p w:rsidR="00766804" w:rsidRPr="004F0D69" w:rsidRDefault="00766804" w:rsidP="006E6122">
            <w:pPr>
              <w:tabs>
                <w:tab w:val="center" w:pos="4419"/>
                <w:tab w:val="right" w:pos="8838"/>
              </w:tabs>
              <w:rPr>
                <w:rFonts w:ascii="Arial" w:hAnsi="Arial" w:cs="Arial"/>
                <w:sz w:val="22"/>
                <w:szCs w:val="22"/>
              </w:rPr>
            </w:pPr>
          </w:p>
          <w:p w:rsidR="00766804" w:rsidRPr="004F0D69" w:rsidRDefault="00766804" w:rsidP="006E6122">
            <w:pPr>
              <w:tabs>
                <w:tab w:val="center" w:pos="4419"/>
                <w:tab w:val="right" w:pos="8838"/>
              </w:tabs>
              <w:rPr>
                <w:rFonts w:ascii="Arial" w:hAnsi="Arial" w:cs="Arial"/>
                <w:sz w:val="22"/>
                <w:szCs w:val="22"/>
              </w:rPr>
            </w:pPr>
          </w:p>
          <w:p w:rsidR="00766804" w:rsidRPr="004F0D69" w:rsidRDefault="00766804" w:rsidP="006E6122">
            <w:pPr>
              <w:tabs>
                <w:tab w:val="center" w:pos="4419"/>
                <w:tab w:val="right" w:pos="8838"/>
              </w:tabs>
              <w:rPr>
                <w:rFonts w:ascii="Arial" w:hAnsi="Arial" w:cs="Arial"/>
                <w:sz w:val="22"/>
                <w:szCs w:val="22"/>
              </w:rPr>
            </w:pPr>
            <w:r w:rsidRPr="004F0D69">
              <w:rPr>
                <w:rFonts w:ascii="Arial" w:hAnsi="Arial" w:cs="Arial"/>
                <w:sz w:val="22"/>
                <w:szCs w:val="22"/>
              </w:rPr>
              <w:t>Clasificación completa</w:t>
            </w:r>
          </w:p>
        </w:tc>
      </w:tr>
      <w:tr w:rsidR="00766804" w:rsidRPr="004059AD" w:rsidTr="005F47B9">
        <w:tc>
          <w:tcPr>
            <w:tcW w:w="5211" w:type="dxa"/>
          </w:tcPr>
          <w:p w:rsidR="00766804" w:rsidRPr="004059AD" w:rsidRDefault="00766804" w:rsidP="002B53DF">
            <w:pPr>
              <w:tabs>
                <w:tab w:val="center" w:pos="4419"/>
                <w:tab w:val="right" w:pos="8838"/>
              </w:tabs>
              <w:jc w:val="center"/>
              <w:rPr>
                <w:rFonts w:ascii="Arial" w:hAnsi="Arial" w:cs="Arial"/>
                <w:sz w:val="22"/>
                <w:szCs w:val="22"/>
              </w:rPr>
            </w:pPr>
            <w:r w:rsidRPr="004059AD">
              <w:rPr>
                <w:rFonts w:ascii="Arial" w:hAnsi="Arial" w:cs="Arial"/>
                <w:sz w:val="22"/>
                <w:szCs w:val="22"/>
              </w:rPr>
              <w:t>En caso de ser parcial, las partes del documento que son reservadas</w:t>
            </w:r>
          </w:p>
        </w:tc>
        <w:tc>
          <w:tcPr>
            <w:tcW w:w="8080" w:type="dxa"/>
            <w:shd w:val="clear" w:color="auto" w:fill="A6A6A6" w:themeFill="background1" w:themeFillShade="A6"/>
          </w:tcPr>
          <w:p w:rsidR="00766804" w:rsidRPr="004059AD" w:rsidRDefault="00766804" w:rsidP="006E6122">
            <w:pPr>
              <w:tabs>
                <w:tab w:val="center" w:pos="4419"/>
                <w:tab w:val="right" w:pos="8838"/>
              </w:tabs>
              <w:rPr>
                <w:rFonts w:ascii="Arial" w:hAnsi="Arial" w:cs="Arial"/>
                <w:sz w:val="22"/>
                <w:szCs w:val="22"/>
              </w:rPr>
            </w:pPr>
          </w:p>
        </w:tc>
      </w:tr>
      <w:tr w:rsidR="007567E9" w:rsidRPr="004059AD" w:rsidTr="00824B75">
        <w:tc>
          <w:tcPr>
            <w:tcW w:w="5211" w:type="dxa"/>
          </w:tcPr>
          <w:p w:rsidR="007567E9" w:rsidRPr="004059AD" w:rsidRDefault="007567E9" w:rsidP="006E6122">
            <w:pPr>
              <w:tabs>
                <w:tab w:val="center" w:pos="4419"/>
                <w:tab w:val="right" w:pos="8838"/>
              </w:tabs>
              <w:jc w:val="center"/>
              <w:rPr>
                <w:rFonts w:ascii="Arial" w:hAnsi="Arial" w:cs="Arial"/>
                <w:sz w:val="22"/>
                <w:szCs w:val="22"/>
              </w:rPr>
            </w:pPr>
            <w:r w:rsidRPr="004059AD">
              <w:rPr>
                <w:rFonts w:ascii="Arial" w:hAnsi="Arial" w:cs="Arial"/>
                <w:sz w:val="22"/>
                <w:szCs w:val="22"/>
              </w:rPr>
              <w:t xml:space="preserve">En su caso, la fecha del acta en donde el Comité de Transparencia confirmó la clasificación </w:t>
            </w:r>
          </w:p>
          <w:p w:rsidR="007567E9" w:rsidRPr="004059AD" w:rsidRDefault="007567E9" w:rsidP="006E6122">
            <w:pPr>
              <w:tabs>
                <w:tab w:val="center" w:pos="4419"/>
                <w:tab w:val="right" w:pos="8838"/>
              </w:tabs>
              <w:jc w:val="center"/>
              <w:rPr>
                <w:rFonts w:ascii="Arial" w:hAnsi="Arial" w:cs="Arial"/>
                <w:sz w:val="22"/>
                <w:szCs w:val="22"/>
              </w:rPr>
            </w:pPr>
          </w:p>
        </w:tc>
        <w:tc>
          <w:tcPr>
            <w:tcW w:w="8080" w:type="dxa"/>
            <w:shd w:val="clear" w:color="auto" w:fill="auto"/>
          </w:tcPr>
          <w:p w:rsidR="007567E9" w:rsidRPr="004059AD" w:rsidRDefault="007567E9" w:rsidP="00423EDA">
            <w:pPr>
              <w:tabs>
                <w:tab w:val="center" w:pos="4419"/>
                <w:tab w:val="right" w:pos="8838"/>
              </w:tabs>
              <w:rPr>
                <w:rFonts w:ascii="Arial" w:hAnsi="Arial" w:cs="Arial"/>
                <w:sz w:val="22"/>
                <w:szCs w:val="22"/>
              </w:rPr>
            </w:pPr>
          </w:p>
          <w:p w:rsidR="007567E9" w:rsidRPr="004059AD" w:rsidRDefault="007567E9" w:rsidP="00423EDA">
            <w:pPr>
              <w:tabs>
                <w:tab w:val="center" w:pos="4419"/>
                <w:tab w:val="right" w:pos="8838"/>
              </w:tabs>
              <w:rPr>
                <w:rFonts w:ascii="Arial" w:hAnsi="Arial" w:cs="Arial"/>
                <w:sz w:val="22"/>
                <w:szCs w:val="22"/>
              </w:rPr>
            </w:pPr>
            <w:r w:rsidRPr="004059AD">
              <w:rPr>
                <w:rFonts w:ascii="Arial" w:hAnsi="Arial" w:cs="Arial"/>
                <w:sz w:val="22"/>
                <w:szCs w:val="22"/>
              </w:rPr>
              <w:t>30 de noviembre de 2017</w:t>
            </w:r>
          </w:p>
        </w:tc>
      </w:tr>
      <w:tr w:rsidR="007567E9" w:rsidRPr="004059AD" w:rsidTr="00E550EE">
        <w:tc>
          <w:tcPr>
            <w:tcW w:w="5211" w:type="dxa"/>
          </w:tcPr>
          <w:p w:rsidR="007567E9" w:rsidRPr="004059AD" w:rsidRDefault="007567E9" w:rsidP="006E6122">
            <w:pPr>
              <w:tabs>
                <w:tab w:val="center" w:pos="4419"/>
                <w:tab w:val="right" w:pos="8838"/>
              </w:tabs>
              <w:jc w:val="center"/>
              <w:rPr>
                <w:rFonts w:ascii="Arial" w:hAnsi="Arial" w:cs="Arial"/>
                <w:sz w:val="22"/>
                <w:szCs w:val="22"/>
              </w:rPr>
            </w:pPr>
            <w:r w:rsidRPr="004059AD">
              <w:rPr>
                <w:rFonts w:ascii="Arial" w:hAnsi="Arial" w:cs="Arial"/>
                <w:sz w:val="22"/>
                <w:szCs w:val="22"/>
              </w:rPr>
              <w:t xml:space="preserve">El plazo de reserva y si se encuentra o no en prórroga </w:t>
            </w:r>
          </w:p>
          <w:p w:rsidR="007567E9" w:rsidRPr="004059AD" w:rsidRDefault="007567E9" w:rsidP="006E6122">
            <w:pPr>
              <w:tabs>
                <w:tab w:val="center" w:pos="4419"/>
                <w:tab w:val="right" w:pos="8838"/>
              </w:tabs>
              <w:jc w:val="center"/>
              <w:rPr>
                <w:rFonts w:ascii="Arial" w:hAnsi="Arial" w:cs="Arial"/>
                <w:sz w:val="22"/>
                <w:szCs w:val="22"/>
              </w:rPr>
            </w:pPr>
          </w:p>
        </w:tc>
        <w:tc>
          <w:tcPr>
            <w:tcW w:w="8080" w:type="dxa"/>
          </w:tcPr>
          <w:p w:rsidR="007567E9" w:rsidRPr="004059AD" w:rsidRDefault="007567E9" w:rsidP="002B53DF">
            <w:pPr>
              <w:tabs>
                <w:tab w:val="center" w:pos="4419"/>
                <w:tab w:val="right" w:pos="8838"/>
              </w:tabs>
              <w:rPr>
                <w:rFonts w:ascii="Arial" w:hAnsi="Arial" w:cs="Arial"/>
                <w:sz w:val="22"/>
                <w:szCs w:val="22"/>
              </w:rPr>
            </w:pPr>
          </w:p>
          <w:p w:rsidR="007567E9" w:rsidRPr="004059AD" w:rsidRDefault="007567E9" w:rsidP="00766804">
            <w:pPr>
              <w:tabs>
                <w:tab w:val="center" w:pos="4419"/>
                <w:tab w:val="right" w:pos="8838"/>
              </w:tabs>
              <w:rPr>
                <w:rFonts w:ascii="Arial" w:hAnsi="Arial" w:cs="Arial"/>
                <w:sz w:val="22"/>
                <w:szCs w:val="22"/>
              </w:rPr>
            </w:pPr>
            <w:r w:rsidRPr="004059AD">
              <w:rPr>
                <w:rFonts w:ascii="Arial" w:hAnsi="Arial" w:cs="Arial"/>
                <w:sz w:val="22"/>
                <w:szCs w:val="22"/>
              </w:rPr>
              <w:t>Se reserva por un año</w:t>
            </w:r>
          </w:p>
        </w:tc>
      </w:tr>
      <w:tr w:rsidR="007567E9" w:rsidRPr="004059AD" w:rsidTr="00E550EE">
        <w:tc>
          <w:tcPr>
            <w:tcW w:w="5211" w:type="dxa"/>
          </w:tcPr>
          <w:p w:rsidR="007567E9" w:rsidRPr="004059AD" w:rsidRDefault="007567E9" w:rsidP="002B53DF">
            <w:pPr>
              <w:tabs>
                <w:tab w:val="center" w:pos="4419"/>
                <w:tab w:val="right" w:pos="8838"/>
              </w:tabs>
              <w:jc w:val="center"/>
              <w:rPr>
                <w:rFonts w:ascii="Arial" w:hAnsi="Arial" w:cs="Arial"/>
                <w:sz w:val="22"/>
                <w:szCs w:val="22"/>
              </w:rPr>
            </w:pPr>
            <w:r w:rsidRPr="004059AD">
              <w:rPr>
                <w:rFonts w:ascii="Arial" w:hAnsi="Arial" w:cs="Arial"/>
                <w:sz w:val="22"/>
                <w:szCs w:val="22"/>
              </w:rPr>
              <w:t xml:space="preserve">La fecha en que culmina el plazo de la clasificación </w:t>
            </w:r>
          </w:p>
        </w:tc>
        <w:tc>
          <w:tcPr>
            <w:tcW w:w="8080" w:type="dxa"/>
          </w:tcPr>
          <w:p w:rsidR="007567E9" w:rsidRPr="004059AD" w:rsidRDefault="007567E9" w:rsidP="007567E9">
            <w:pPr>
              <w:tabs>
                <w:tab w:val="center" w:pos="4419"/>
                <w:tab w:val="right" w:pos="8838"/>
              </w:tabs>
              <w:rPr>
                <w:rFonts w:ascii="Arial" w:hAnsi="Arial" w:cs="Arial"/>
                <w:sz w:val="22"/>
                <w:szCs w:val="22"/>
              </w:rPr>
            </w:pPr>
            <w:r w:rsidRPr="004059AD">
              <w:rPr>
                <w:rFonts w:ascii="Arial" w:hAnsi="Arial" w:cs="Arial"/>
                <w:sz w:val="22"/>
                <w:szCs w:val="22"/>
              </w:rPr>
              <w:t>Noviembre 2018</w:t>
            </w:r>
          </w:p>
        </w:tc>
      </w:tr>
      <w:tr w:rsidR="007567E9" w:rsidRPr="004059AD" w:rsidTr="00E550EE">
        <w:tc>
          <w:tcPr>
            <w:tcW w:w="5211" w:type="dxa"/>
          </w:tcPr>
          <w:p w:rsidR="007567E9" w:rsidRPr="00121D65" w:rsidRDefault="007567E9" w:rsidP="006E6122">
            <w:pPr>
              <w:tabs>
                <w:tab w:val="center" w:pos="4419"/>
                <w:tab w:val="right" w:pos="8838"/>
              </w:tabs>
              <w:jc w:val="center"/>
              <w:rPr>
                <w:rFonts w:ascii="Arial" w:hAnsi="Arial" w:cs="Arial"/>
                <w:sz w:val="22"/>
                <w:szCs w:val="22"/>
              </w:rPr>
            </w:pPr>
            <w:r w:rsidRPr="00121D65">
              <w:rPr>
                <w:rFonts w:ascii="Arial" w:hAnsi="Arial" w:cs="Arial"/>
                <w:sz w:val="22"/>
                <w:szCs w:val="22"/>
              </w:rPr>
              <w:t xml:space="preserve">Las partes o secciones de los expedientes o documentos que se clasifican </w:t>
            </w:r>
          </w:p>
          <w:p w:rsidR="007567E9" w:rsidRPr="004059AD" w:rsidRDefault="007567E9" w:rsidP="006E6122">
            <w:pPr>
              <w:tabs>
                <w:tab w:val="center" w:pos="4419"/>
                <w:tab w:val="right" w:pos="8838"/>
              </w:tabs>
              <w:jc w:val="center"/>
              <w:rPr>
                <w:rFonts w:ascii="Arial" w:hAnsi="Arial" w:cs="Arial"/>
                <w:sz w:val="22"/>
                <w:szCs w:val="22"/>
                <w:highlight w:val="yellow"/>
              </w:rPr>
            </w:pPr>
          </w:p>
        </w:tc>
        <w:tc>
          <w:tcPr>
            <w:tcW w:w="8080" w:type="dxa"/>
          </w:tcPr>
          <w:p w:rsidR="007567E9" w:rsidRPr="004059AD" w:rsidRDefault="007567E9" w:rsidP="00D649CD">
            <w:pPr>
              <w:rPr>
                <w:rFonts w:ascii="Arial" w:hAnsi="Arial" w:cs="Arial"/>
                <w:sz w:val="22"/>
                <w:szCs w:val="22"/>
                <w:highlight w:val="yellow"/>
              </w:rPr>
            </w:pPr>
            <w:r w:rsidRPr="004059AD">
              <w:rPr>
                <w:rFonts w:ascii="Arial" w:hAnsi="Arial" w:cs="Arial"/>
                <w:sz w:val="22"/>
                <w:szCs w:val="22"/>
              </w:rPr>
              <w:t xml:space="preserve">Expedientes del Ente Fiscalizable: Secretaría de Desarrollo Agropecuario, Rural y Pesca del Estado de Veracruz (SEDARPA) derivados del procedimiento de fiscalización superior de las cuentas públicas 2015 y 2016, que formen parte de las Carpetas de Investigación C.I./FESP/532/2017/V-06 y FGE/FIM/F10/C.I./342/2017, con motivo de las denuncias presentadas.  </w:t>
            </w:r>
          </w:p>
        </w:tc>
      </w:tr>
    </w:tbl>
    <w:p w:rsidR="000716B4" w:rsidRPr="00403E3F" w:rsidRDefault="000716B4" w:rsidP="00C0340E">
      <w:pPr>
        <w:rPr>
          <w:rFonts w:ascii="Arial" w:hAnsi="Arial" w:cs="Arial"/>
        </w:rPr>
      </w:pPr>
    </w:p>
    <w:sectPr w:rsidR="000716B4" w:rsidRPr="00403E3F" w:rsidSect="00C0340E">
      <w:headerReference w:type="default" r:id="rId8"/>
      <w:pgSz w:w="15842" w:h="12242" w:orient="landscape" w:code="1"/>
      <w:pgMar w:top="1418" w:right="1134" w:bottom="1418" w:left="1559" w:header="709" w:footer="6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992" w:rsidRDefault="00FE6992" w:rsidP="00F359C9">
      <w:r>
        <w:separator/>
      </w:r>
    </w:p>
  </w:endnote>
  <w:endnote w:type="continuationSeparator" w:id="0">
    <w:p w:rsidR="00FE6992" w:rsidRDefault="00FE6992" w:rsidP="00F3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utiger 55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992" w:rsidRDefault="00FE6992" w:rsidP="00F359C9">
      <w:r>
        <w:separator/>
      </w:r>
    </w:p>
  </w:footnote>
  <w:footnote w:type="continuationSeparator" w:id="0">
    <w:p w:rsidR="00FE6992" w:rsidRDefault="00FE6992" w:rsidP="00F35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9C9" w:rsidRDefault="00311C93">
    <w:pPr>
      <w:pStyle w:val="Encabezado"/>
    </w:pPr>
    <w:r>
      <w:rPr>
        <w:rFonts w:ascii="Frutiger 55 Roman" w:hAnsi="Frutiger 55 Roman"/>
        <w:b/>
        <w:noProof/>
        <w:lang w:eastAsia="es-MX"/>
      </w:rPr>
      <mc:AlternateContent>
        <mc:Choice Requires="wps">
          <w:drawing>
            <wp:anchor distT="0" distB="0" distL="114300" distR="114300" simplePos="0" relativeHeight="251657216" behindDoc="0" locked="0" layoutInCell="1" allowOverlap="1" wp14:anchorId="4E7E4F9C" wp14:editId="5EC100C4">
              <wp:simplePos x="0" y="0"/>
              <wp:positionH relativeFrom="column">
                <wp:posOffset>4234815</wp:posOffset>
              </wp:positionH>
              <wp:positionV relativeFrom="paragraph">
                <wp:posOffset>-92710</wp:posOffset>
              </wp:positionV>
              <wp:extent cx="3340100" cy="277495"/>
              <wp:effectExtent l="0"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02A" w:rsidRPr="00BB435D" w:rsidRDefault="0085202A" w:rsidP="0085202A"/>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E7E4F9C" id="_x0000_t202" coordsize="21600,21600" o:spt="202" path="m,l,21600r21600,l21600,xe">
              <v:stroke joinstyle="miter"/>
              <v:path gradientshapeok="t" o:connecttype="rect"/>
            </v:shapetype>
            <v:shape id="Text Box 4" o:spid="_x0000_s1026" type="#_x0000_t202" style="position:absolute;left:0;text-align:left;margin-left:333.45pt;margin-top:-7.3pt;width:263pt;height:21.8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" filled="f" stroked="f">
              <v:textbox style="mso-fit-shape-to-text:t">
                <w:txbxContent>
                  <w:p w:rsidR="0085202A" w:rsidRPr="00BB435D" w:rsidRDefault="0085202A" w:rsidP="0085202A"/>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DE3"/>
    <w:multiLevelType w:val="hybridMultilevel"/>
    <w:tmpl w:val="86D067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5D08A4"/>
    <w:multiLevelType w:val="hybridMultilevel"/>
    <w:tmpl w:val="8E20C57C"/>
    <w:lvl w:ilvl="0" w:tplc="D69A52E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 w15:restartNumberingAfterBreak="0">
    <w:nsid w:val="079B0863"/>
    <w:multiLevelType w:val="hybridMultilevel"/>
    <w:tmpl w:val="7FA44FF6"/>
    <w:lvl w:ilvl="0" w:tplc="0AC227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0F6EA6"/>
    <w:multiLevelType w:val="hybridMultilevel"/>
    <w:tmpl w:val="62E8F8CA"/>
    <w:lvl w:ilvl="0" w:tplc="080A0017">
      <w:start w:val="1"/>
      <w:numFmt w:val="lowerLetter"/>
      <w:lvlText w:val="%1)"/>
      <w:lvlJc w:val="left"/>
      <w:pPr>
        <w:ind w:left="1515" w:hanging="360"/>
      </w:pPr>
    </w:lvl>
    <w:lvl w:ilvl="1" w:tplc="080A0019" w:tentative="1">
      <w:start w:val="1"/>
      <w:numFmt w:val="lowerLetter"/>
      <w:lvlText w:val="%2."/>
      <w:lvlJc w:val="left"/>
      <w:pPr>
        <w:ind w:left="2235" w:hanging="360"/>
      </w:pPr>
    </w:lvl>
    <w:lvl w:ilvl="2" w:tplc="080A001B" w:tentative="1">
      <w:start w:val="1"/>
      <w:numFmt w:val="lowerRoman"/>
      <w:lvlText w:val="%3."/>
      <w:lvlJc w:val="right"/>
      <w:pPr>
        <w:ind w:left="2955" w:hanging="180"/>
      </w:pPr>
    </w:lvl>
    <w:lvl w:ilvl="3" w:tplc="080A000F" w:tentative="1">
      <w:start w:val="1"/>
      <w:numFmt w:val="decimal"/>
      <w:lvlText w:val="%4."/>
      <w:lvlJc w:val="left"/>
      <w:pPr>
        <w:ind w:left="3675" w:hanging="360"/>
      </w:pPr>
    </w:lvl>
    <w:lvl w:ilvl="4" w:tplc="080A0019" w:tentative="1">
      <w:start w:val="1"/>
      <w:numFmt w:val="lowerLetter"/>
      <w:lvlText w:val="%5."/>
      <w:lvlJc w:val="left"/>
      <w:pPr>
        <w:ind w:left="4395" w:hanging="360"/>
      </w:pPr>
    </w:lvl>
    <w:lvl w:ilvl="5" w:tplc="080A001B" w:tentative="1">
      <w:start w:val="1"/>
      <w:numFmt w:val="lowerRoman"/>
      <w:lvlText w:val="%6."/>
      <w:lvlJc w:val="right"/>
      <w:pPr>
        <w:ind w:left="5115" w:hanging="180"/>
      </w:pPr>
    </w:lvl>
    <w:lvl w:ilvl="6" w:tplc="080A000F" w:tentative="1">
      <w:start w:val="1"/>
      <w:numFmt w:val="decimal"/>
      <w:lvlText w:val="%7."/>
      <w:lvlJc w:val="left"/>
      <w:pPr>
        <w:ind w:left="5835" w:hanging="360"/>
      </w:pPr>
    </w:lvl>
    <w:lvl w:ilvl="7" w:tplc="080A0019" w:tentative="1">
      <w:start w:val="1"/>
      <w:numFmt w:val="lowerLetter"/>
      <w:lvlText w:val="%8."/>
      <w:lvlJc w:val="left"/>
      <w:pPr>
        <w:ind w:left="6555" w:hanging="360"/>
      </w:pPr>
    </w:lvl>
    <w:lvl w:ilvl="8" w:tplc="080A001B" w:tentative="1">
      <w:start w:val="1"/>
      <w:numFmt w:val="lowerRoman"/>
      <w:lvlText w:val="%9."/>
      <w:lvlJc w:val="right"/>
      <w:pPr>
        <w:ind w:left="7275" w:hanging="180"/>
      </w:pPr>
    </w:lvl>
  </w:abstractNum>
  <w:abstractNum w:abstractNumId="4" w15:restartNumberingAfterBreak="0">
    <w:nsid w:val="127F42F8"/>
    <w:multiLevelType w:val="hybridMultilevel"/>
    <w:tmpl w:val="12DE134A"/>
    <w:lvl w:ilvl="0" w:tplc="54EAF5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761639"/>
    <w:multiLevelType w:val="hybridMultilevel"/>
    <w:tmpl w:val="99A4BB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AE7693"/>
    <w:multiLevelType w:val="hybridMultilevel"/>
    <w:tmpl w:val="36CCB550"/>
    <w:lvl w:ilvl="0" w:tplc="96A0EF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5E0EAE"/>
    <w:multiLevelType w:val="hybridMultilevel"/>
    <w:tmpl w:val="6D2E1D90"/>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8" w15:restartNumberingAfterBreak="0">
    <w:nsid w:val="3ECE29CF"/>
    <w:multiLevelType w:val="hybridMultilevel"/>
    <w:tmpl w:val="CAD2540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F97197"/>
    <w:multiLevelType w:val="hybridMultilevel"/>
    <w:tmpl w:val="0E844156"/>
    <w:lvl w:ilvl="0" w:tplc="4434CAD6">
      <w:start w:val="1"/>
      <w:numFmt w:val="upperRoman"/>
      <w:lvlText w:val="%1."/>
      <w:lvlJc w:val="left"/>
      <w:pPr>
        <w:ind w:left="564" w:hanging="720"/>
      </w:pPr>
      <w:rPr>
        <w:rFonts w:hint="default"/>
      </w:rPr>
    </w:lvl>
    <w:lvl w:ilvl="1" w:tplc="080A0019" w:tentative="1">
      <w:start w:val="1"/>
      <w:numFmt w:val="lowerLetter"/>
      <w:lvlText w:val="%2."/>
      <w:lvlJc w:val="left"/>
      <w:pPr>
        <w:ind w:left="924" w:hanging="360"/>
      </w:pPr>
    </w:lvl>
    <w:lvl w:ilvl="2" w:tplc="080A001B" w:tentative="1">
      <w:start w:val="1"/>
      <w:numFmt w:val="lowerRoman"/>
      <w:lvlText w:val="%3."/>
      <w:lvlJc w:val="right"/>
      <w:pPr>
        <w:ind w:left="1644" w:hanging="180"/>
      </w:pPr>
    </w:lvl>
    <w:lvl w:ilvl="3" w:tplc="080A000F" w:tentative="1">
      <w:start w:val="1"/>
      <w:numFmt w:val="decimal"/>
      <w:lvlText w:val="%4."/>
      <w:lvlJc w:val="left"/>
      <w:pPr>
        <w:ind w:left="2364" w:hanging="360"/>
      </w:pPr>
    </w:lvl>
    <w:lvl w:ilvl="4" w:tplc="080A0019" w:tentative="1">
      <w:start w:val="1"/>
      <w:numFmt w:val="lowerLetter"/>
      <w:lvlText w:val="%5."/>
      <w:lvlJc w:val="left"/>
      <w:pPr>
        <w:ind w:left="3084" w:hanging="360"/>
      </w:pPr>
    </w:lvl>
    <w:lvl w:ilvl="5" w:tplc="080A001B" w:tentative="1">
      <w:start w:val="1"/>
      <w:numFmt w:val="lowerRoman"/>
      <w:lvlText w:val="%6."/>
      <w:lvlJc w:val="right"/>
      <w:pPr>
        <w:ind w:left="3804" w:hanging="180"/>
      </w:pPr>
    </w:lvl>
    <w:lvl w:ilvl="6" w:tplc="080A000F" w:tentative="1">
      <w:start w:val="1"/>
      <w:numFmt w:val="decimal"/>
      <w:lvlText w:val="%7."/>
      <w:lvlJc w:val="left"/>
      <w:pPr>
        <w:ind w:left="4524" w:hanging="360"/>
      </w:pPr>
    </w:lvl>
    <w:lvl w:ilvl="7" w:tplc="080A0019" w:tentative="1">
      <w:start w:val="1"/>
      <w:numFmt w:val="lowerLetter"/>
      <w:lvlText w:val="%8."/>
      <w:lvlJc w:val="left"/>
      <w:pPr>
        <w:ind w:left="5244" w:hanging="360"/>
      </w:pPr>
    </w:lvl>
    <w:lvl w:ilvl="8" w:tplc="080A001B" w:tentative="1">
      <w:start w:val="1"/>
      <w:numFmt w:val="lowerRoman"/>
      <w:lvlText w:val="%9."/>
      <w:lvlJc w:val="right"/>
      <w:pPr>
        <w:ind w:left="5964" w:hanging="180"/>
      </w:pPr>
    </w:lvl>
  </w:abstractNum>
  <w:abstractNum w:abstractNumId="10" w15:restartNumberingAfterBreak="0">
    <w:nsid w:val="531060C5"/>
    <w:multiLevelType w:val="hybridMultilevel"/>
    <w:tmpl w:val="5182586C"/>
    <w:lvl w:ilvl="0" w:tplc="080A0017">
      <w:start w:val="1"/>
      <w:numFmt w:val="lowerLetter"/>
      <w:lvlText w:val="%1)"/>
      <w:lvlJc w:val="left"/>
      <w:pPr>
        <w:ind w:left="1515" w:hanging="360"/>
      </w:pPr>
    </w:lvl>
    <w:lvl w:ilvl="1" w:tplc="080A0019" w:tentative="1">
      <w:start w:val="1"/>
      <w:numFmt w:val="lowerLetter"/>
      <w:lvlText w:val="%2."/>
      <w:lvlJc w:val="left"/>
      <w:pPr>
        <w:ind w:left="2235" w:hanging="360"/>
      </w:pPr>
    </w:lvl>
    <w:lvl w:ilvl="2" w:tplc="080A001B" w:tentative="1">
      <w:start w:val="1"/>
      <w:numFmt w:val="lowerRoman"/>
      <w:lvlText w:val="%3."/>
      <w:lvlJc w:val="right"/>
      <w:pPr>
        <w:ind w:left="2955" w:hanging="180"/>
      </w:pPr>
    </w:lvl>
    <w:lvl w:ilvl="3" w:tplc="080A000F" w:tentative="1">
      <w:start w:val="1"/>
      <w:numFmt w:val="decimal"/>
      <w:lvlText w:val="%4."/>
      <w:lvlJc w:val="left"/>
      <w:pPr>
        <w:ind w:left="3675" w:hanging="360"/>
      </w:pPr>
    </w:lvl>
    <w:lvl w:ilvl="4" w:tplc="080A0019" w:tentative="1">
      <w:start w:val="1"/>
      <w:numFmt w:val="lowerLetter"/>
      <w:lvlText w:val="%5."/>
      <w:lvlJc w:val="left"/>
      <w:pPr>
        <w:ind w:left="4395" w:hanging="360"/>
      </w:pPr>
    </w:lvl>
    <w:lvl w:ilvl="5" w:tplc="080A001B" w:tentative="1">
      <w:start w:val="1"/>
      <w:numFmt w:val="lowerRoman"/>
      <w:lvlText w:val="%6."/>
      <w:lvlJc w:val="right"/>
      <w:pPr>
        <w:ind w:left="5115" w:hanging="180"/>
      </w:pPr>
    </w:lvl>
    <w:lvl w:ilvl="6" w:tplc="080A000F" w:tentative="1">
      <w:start w:val="1"/>
      <w:numFmt w:val="decimal"/>
      <w:lvlText w:val="%7."/>
      <w:lvlJc w:val="left"/>
      <w:pPr>
        <w:ind w:left="5835" w:hanging="360"/>
      </w:pPr>
    </w:lvl>
    <w:lvl w:ilvl="7" w:tplc="080A0019" w:tentative="1">
      <w:start w:val="1"/>
      <w:numFmt w:val="lowerLetter"/>
      <w:lvlText w:val="%8."/>
      <w:lvlJc w:val="left"/>
      <w:pPr>
        <w:ind w:left="6555" w:hanging="360"/>
      </w:pPr>
    </w:lvl>
    <w:lvl w:ilvl="8" w:tplc="080A001B" w:tentative="1">
      <w:start w:val="1"/>
      <w:numFmt w:val="lowerRoman"/>
      <w:lvlText w:val="%9."/>
      <w:lvlJc w:val="right"/>
      <w:pPr>
        <w:ind w:left="7275" w:hanging="180"/>
      </w:pPr>
    </w:lvl>
  </w:abstractNum>
  <w:abstractNum w:abstractNumId="11" w15:restartNumberingAfterBreak="0">
    <w:nsid w:val="54075519"/>
    <w:multiLevelType w:val="hybridMultilevel"/>
    <w:tmpl w:val="78C47006"/>
    <w:lvl w:ilvl="0" w:tplc="E28A78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9605307"/>
    <w:multiLevelType w:val="hybridMultilevel"/>
    <w:tmpl w:val="A5760D4A"/>
    <w:lvl w:ilvl="0" w:tplc="080A0013">
      <w:start w:val="1"/>
      <w:numFmt w:val="upperRoman"/>
      <w:lvlText w:val="%1."/>
      <w:lvlJc w:val="right"/>
      <w:pPr>
        <w:ind w:left="1515" w:hanging="360"/>
      </w:pPr>
    </w:lvl>
    <w:lvl w:ilvl="1" w:tplc="080A0019" w:tentative="1">
      <w:start w:val="1"/>
      <w:numFmt w:val="lowerLetter"/>
      <w:lvlText w:val="%2."/>
      <w:lvlJc w:val="left"/>
      <w:pPr>
        <w:ind w:left="2235" w:hanging="360"/>
      </w:pPr>
    </w:lvl>
    <w:lvl w:ilvl="2" w:tplc="080A001B" w:tentative="1">
      <w:start w:val="1"/>
      <w:numFmt w:val="lowerRoman"/>
      <w:lvlText w:val="%3."/>
      <w:lvlJc w:val="right"/>
      <w:pPr>
        <w:ind w:left="2955" w:hanging="180"/>
      </w:pPr>
    </w:lvl>
    <w:lvl w:ilvl="3" w:tplc="080A000F" w:tentative="1">
      <w:start w:val="1"/>
      <w:numFmt w:val="decimal"/>
      <w:lvlText w:val="%4."/>
      <w:lvlJc w:val="left"/>
      <w:pPr>
        <w:ind w:left="3675" w:hanging="360"/>
      </w:pPr>
    </w:lvl>
    <w:lvl w:ilvl="4" w:tplc="080A0019" w:tentative="1">
      <w:start w:val="1"/>
      <w:numFmt w:val="lowerLetter"/>
      <w:lvlText w:val="%5."/>
      <w:lvlJc w:val="left"/>
      <w:pPr>
        <w:ind w:left="4395" w:hanging="360"/>
      </w:pPr>
    </w:lvl>
    <w:lvl w:ilvl="5" w:tplc="080A001B" w:tentative="1">
      <w:start w:val="1"/>
      <w:numFmt w:val="lowerRoman"/>
      <w:lvlText w:val="%6."/>
      <w:lvlJc w:val="right"/>
      <w:pPr>
        <w:ind w:left="5115" w:hanging="180"/>
      </w:pPr>
    </w:lvl>
    <w:lvl w:ilvl="6" w:tplc="080A000F" w:tentative="1">
      <w:start w:val="1"/>
      <w:numFmt w:val="decimal"/>
      <w:lvlText w:val="%7."/>
      <w:lvlJc w:val="left"/>
      <w:pPr>
        <w:ind w:left="5835" w:hanging="360"/>
      </w:pPr>
    </w:lvl>
    <w:lvl w:ilvl="7" w:tplc="080A0019" w:tentative="1">
      <w:start w:val="1"/>
      <w:numFmt w:val="lowerLetter"/>
      <w:lvlText w:val="%8."/>
      <w:lvlJc w:val="left"/>
      <w:pPr>
        <w:ind w:left="6555" w:hanging="360"/>
      </w:pPr>
    </w:lvl>
    <w:lvl w:ilvl="8" w:tplc="080A001B" w:tentative="1">
      <w:start w:val="1"/>
      <w:numFmt w:val="lowerRoman"/>
      <w:lvlText w:val="%9."/>
      <w:lvlJc w:val="right"/>
      <w:pPr>
        <w:ind w:left="7275" w:hanging="180"/>
      </w:pPr>
    </w:lvl>
  </w:abstractNum>
  <w:abstractNum w:abstractNumId="13" w15:restartNumberingAfterBreak="0">
    <w:nsid w:val="74D022D2"/>
    <w:multiLevelType w:val="hybridMultilevel"/>
    <w:tmpl w:val="B0564E7A"/>
    <w:lvl w:ilvl="0" w:tplc="0D24A364">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7B886C4E"/>
    <w:multiLevelType w:val="hybridMultilevel"/>
    <w:tmpl w:val="40C095DA"/>
    <w:lvl w:ilvl="0" w:tplc="797CE5D2">
      <w:start w:val="1"/>
      <w:numFmt w:val="upperRoman"/>
      <w:lvlText w:val="%1."/>
      <w:lvlJc w:val="left"/>
      <w:pPr>
        <w:ind w:left="717" w:hanging="717"/>
      </w:pPr>
      <w:rPr>
        <w:rFonts w:hint="default"/>
      </w:rPr>
    </w:lvl>
    <w:lvl w:ilvl="1" w:tplc="080A0019" w:tentative="1">
      <w:start w:val="1"/>
      <w:numFmt w:val="lowerLetter"/>
      <w:lvlText w:val="%2."/>
      <w:lvlJc w:val="left"/>
      <w:pPr>
        <w:ind w:left="780" w:hanging="360"/>
      </w:pPr>
    </w:lvl>
    <w:lvl w:ilvl="2" w:tplc="080A001B" w:tentative="1">
      <w:start w:val="1"/>
      <w:numFmt w:val="lowerRoman"/>
      <w:lvlText w:val="%3."/>
      <w:lvlJc w:val="right"/>
      <w:pPr>
        <w:ind w:left="1500" w:hanging="180"/>
      </w:pPr>
    </w:lvl>
    <w:lvl w:ilvl="3" w:tplc="080A000F" w:tentative="1">
      <w:start w:val="1"/>
      <w:numFmt w:val="decimal"/>
      <w:lvlText w:val="%4."/>
      <w:lvlJc w:val="left"/>
      <w:pPr>
        <w:ind w:left="2220" w:hanging="360"/>
      </w:pPr>
    </w:lvl>
    <w:lvl w:ilvl="4" w:tplc="080A0019" w:tentative="1">
      <w:start w:val="1"/>
      <w:numFmt w:val="lowerLetter"/>
      <w:lvlText w:val="%5."/>
      <w:lvlJc w:val="left"/>
      <w:pPr>
        <w:ind w:left="2940" w:hanging="360"/>
      </w:pPr>
    </w:lvl>
    <w:lvl w:ilvl="5" w:tplc="080A001B" w:tentative="1">
      <w:start w:val="1"/>
      <w:numFmt w:val="lowerRoman"/>
      <w:lvlText w:val="%6."/>
      <w:lvlJc w:val="right"/>
      <w:pPr>
        <w:ind w:left="3660" w:hanging="180"/>
      </w:pPr>
    </w:lvl>
    <w:lvl w:ilvl="6" w:tplc="080A000F" w:tentative="1">
      <w:start w:val="1"/>
      <w:numFmt w:val="decimal"/>
      <w:lvlText w:val="%7."/>
      <w:lvlJc w:val="left"/>
      <w:pPr>
        <w:ind w:left="4380" w:hanging="360"/>
      </w:pPr>
    </w:lvl>
    <w:lvl w:ilvl="7" w:tplc="080A0019" w:tentative="1">
      <w:start w:val="1"/>
      <w:numFmt w:val="lowerLetter"/>
      <w:lvlText w:val="%8."/>
      <w:lvlJc w:val="left"/>
      <w:pPr>
        <w:ind w:left="5100" w:hanging="360"/>
      </w:pPr>
    </w:lvl>
    <w:lvl w:ilvl="8" w:tplc="080A001B" w:tentative="1">
      <w:start w:val="1"/>
      <w:numFmt w:val="lowerRoman"/>
      <w:lvlText w:val="%9."/>
      <w:lvlJc w:val="right"/>
      <w:pPr>
        <w:ind w:left="5820" w:hanging="180"/>
      </w:pPr>
    </w:lvl>
  </w:abstractNum>
  <w:abstractNum w:abstractNumId="15" w15:restartNumberingAfterBreak="0">
    <w:nsid w:val="7F7C083D"/>
    <w:multiLevelType w:val="hybridMultilevel"/>
    <w:tmpl w:val="69CA0912"/>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7"/>
  </w:num>
  <w:num w:numId="2">
    <w:abstractNumId w:val="15"/>
  </w:num>
  <w:num w:numId="3">
    <w:abstractNumId w:val="3"/>
  </w:num>
  <w:num w:numId="4">
    <w:abstractNumId w:val="12"/>
  </w:num>
  <w:num w:numId="5">
    <w:abstractNumId w:val="10"/>
  </w:num>
  <w:num w:numId="6">
    <w:abstractNumId w:val="2"/>
  </w:num>
  <w:num w:numId="7">
    <w:abstractNumId w:val="8"/>
  </w:num>
  <w:num w:numId="8">
    <w:abstractNumId w:val="6"/>
  </w:num>
  <w:num w:numId="9">
    <w:abstractNumId w:val="11"/>
  </w:num>
  <w:num w:numId="10">
    <w:abstractNumId w:val="4"/>
  </w:num>
  <w:num w:numId="11">
    <w:abstractNumId w:val="0"/>
  </w:num>
  <w:num w:numId="12">
    <w:abstractNumId w:val="5"/>
  </w:num>
  <w:num w:numId="13">
    <w:abstractNumId w:val="14"/>
  </w:num>
  <w:num w:numId="14">
    <w:abstractNumId w:val="1"/>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C9"/>
    <w:rsid w:val="000022F5"/>
    <w:rsid w:val="00020CD4"/>
    <w:rsid w:val="000273A0"/>
    <w:rsid w:val="0002767A"/>
    <w:rsid w:val="00036E96"/>
    <w:rsid w:val="000614A0"/>
    <w:rsid w:val="00067393"/>
    <w:rsid w:val="000716B4"/>
    <w:rsid w:val="00080985"/>
    <w:rsid w:val="000A341A"/>
    <w:rsid w:val="000D1403"/>
    <w:rsid w:val="000F22F3"/>
    <w:rsid w:val="00121D65"/>
    <w:rsid w:val="00140CD7"/>
    <w:rsid w:val="00157D8B"/>
    <w:rsid w:val="00163C75"/>
    <w:rsid w:val="00165D60"/>
    <w:rsid w:val="0016783F"/>
    <w:rsid w:val="001803BF"/>
    <w:rsid w:val="001805AC"/>
    <w:rsid w:val="00181583"/>
    <w:rsid w:val="00181C40"/>
    <w:rsid w:val="00197A15"/>
    <w:rsid w:val="001A6250"/>
    <w:rsid w:val="001B2D05"/>
    <w:rsid w:val="001D2A2D"/>
    <w:rsid w:val="001F2BA4"/>
    <w:rsid w:val="001F6733"/>
    <w:rsid w:val="00201D56"/>
    <w:rsid w:val="002147BA"/>
    <w:rsid w:val="00234A12"/>
    <w:rsid w:val="00234E8C"/>
    <w:rsid w:val="002441EA"/>
    <w:rsid w:val="00252636"/>
    <w:rsid w:val="00261022"/>
    <w:rsid w:val="002611C6"/>
    <w:rsid w:val="00262A52"/>
    <w:rsid w:val="00280079"/>
    <w:rsid w:val="002954D8"/>
    <w:rsid w:val="002B53DF"/>
    <w:rsid w:val="002C01DB"/>
    <w:rsid w:val="002C05F3"/>
    <w:rsid w:val="002F2A00"/>
    <w:rsid w:val="00300ACE"/>
    <w:rsid w:val="003068EA"/>
    <w:rsid w:val="00311C93"/>
    <w:rsid w:val="00332B93"/>
    <w:rsid w:val="00334C3C"/>
    <w:rsid w:val="00356BF6"/>
    <w:rsid w:val="0036149F"/>
    <w:rsid w:val="0036283F"/>
    <w:rsid w:val="00366728"/>
    <w:rsid w:val="003704D7"/>
    <w:rsid w:val="00381240"/>
    <w:rsid w:val="00387976"/>
    <w:rsid w:val="003A7817"/>
    <w:rsid w:val="003C037C"/>
    <w:rsid w:val="003D0E46"/>
    <w:rsid w:val="003D2D2E"/>
    <w:rsid w:val="003D5806"/>
    <w:rsid w:val="003F204B"/>
    <w:rsid w:val="004012D7"/>
    <w:rsid w:val="004059AD"/>
    <w:rsid w:val="00417C4E"/>
    <w:rsid w:val="00422D8C"/>
    <w:rsid w:val="00423FE7"/>
    <w:rsid w:val="004253E0"/>
    <w:rsid w:val="00430754"/>
    <w:rsid w:val="0044226F"/>
    <w:rsid w:val="00462315"/>
    <w:rsid w:val="00463FE5"/>
    <w:rsid w:val="0047023A"/>
    <w:rsid w:val="004767AC"/>
    <w:rsid w:val="00493A02"/>
    <w:rsid w:val="004B2850"/>
    <w:rsid w:val="004B2B97"/>
    <w:rsid w:val="004B3509"/>
    <w:rsid w:val="004B3D1D"/>
    <w:rsid w:val="004B4726"/>
    <w:rsid w:val="004E5E1A"/>
    <w:rsid w:val="004F0D69"/>
    <w:rsid w:val="00500CE0"/>
    <w:rsid w:val="005460E3"/>
    <w:rsid w:val="005540CA"/>
    <w:rsid w:val="00587987"/>
    <w:rsid w:val="005936A5"/>
    <w:rsid w:val="005B6FE7"/>
    <w:rsid w:val="005D1286"/>
    <w:rsid w:val="005E57B6"/>
    <w:rsid w:val="005E64E8"/>
    <w:rsid w:val="005F47B9"/>
    <w:rsid w:val="00611DC8"/>
    <w:rsid w:val="00635D01"/>
    <w:rsid w:val="006569B0"/>
    <w:rsid w:val="006615E1"/>
    <w:rsid w:val="006649CA"/>
    <w:rsid w:val="00665E7C"/>
    <w:rsid w:val="00670574"/>
    <w:rsid w:val="0067582A"/>
    <w:rsid w:val="00682529"/>
    <w:rsid w:val="00683467"/>
    <w:rsid w:val="006B5A17"/>
    <w:rsid w:val="006B76C1"/>
    <w:rsid w:val="006C5F52"/>
    <w:rsid w:val="006D1081"/>
    <w:rsid w:val="006F682A"/>
    <w:rsid w:val="006F6B3A"/>
    <w:rsid w:val="006F7177"/>
    <w:rsid w:val="007173C4"/>
    <w:rsid w:val="00724090"/>
    <w:rsid w:val="00724DAF"/>
    <w:rsid w:val="007350A5"/>
    <w:rsid w:val="00744A51"/>
    <w:rsid w:val="00754B07"/>
    <w:rsid w:val="007567E9"/>
    <w:rsid w:val="00763059"/>
    <w:rsid w:val="00766804"/>
    <w:rsid w:val="007809EF"/>
    <w:rsid w:val="00780B47"/>
    <w:rsid w:val="007B1AD7"/>
    <w:rsid w:val="007B42C3"/>
    <w:rsid w:val="007C0D28"/>
    <w:rsid w:val="007C6E4F"/>
    <w:rsid w:val="007D3248"/>
    <w:rsid w:val="007D34B2"/>
    <w:rsid w:val="007F61D6"/>
    <w:rsid w:val="007F6346"/>
    <w:rsid w:val="00802E57"/>
    <w:rsid w:val="00824B75"/>
    <w:rsid w:val="00834E16"/>
    <w:rsid w:val="00835FD9"/>
    <w:rsid w:val="0084309B"/>
    <w:rsid w:val="0085202A"/>
    <w:rsid w:val="00883F64"/>
    <w:rsid w:val="008A3ED2"/>
    <w:rsid w:val="008A54B2"/>
    <w:rsid w:val="008B7872"/>
    <w:rsid w:val="008D1443"/>
    <w:rsid w:val="008D358F"/>
    <w:rsid w:val="008D663F"/>
    <w:rsid w:val="008E7625"/>
    <w:rsid w:val="008F664A"/>
    <w:rsid w:val="00907DF8"/>
    <w:rsid w:val="00910DFE"/>
    <w:rsid w:val="00923654"/>
    <w:rsid w:val="00931934"/>
    <w:rsid w:val="0095787E"/>
    <w:rsid w:val="00997131"/>
    <w:rsid w:val="009D6100"/>
    <w:rsid w:val="009E11FF"/>
    <w:rsid w:val="009E2F44"/>
    <w:rsid w:val="009F2A7E"/>
    <w:rsid w:val="009F6C72"/>
    <w:rsid w:val="00A00A29"/>
    <w:rsid w:val="00A00C2F"/>
    <w:rsid w:val="00A166EB"/>
    <w:rsid w:val="00A51F9D"/>
    <w:rsid w:val="00A5330A"/>
    <w:rsid w:val="00A54600"/>
    <w:rsid w:val="00AA6C7F"/>
    <w:rsid w:val="00AE090D"/>
    <w:rsid w:val="00AE0F27"/>
    <w:rsid w:val="00B05732"/>
    <w:rsid w:val="00B179C2"/>
    <w:rsid w:val="00B22F41"/>
    <w:rsid w:val="00B33E38"/>
    <w:rsid w:val="00B37F29"/>
    <w:rsid w:val="00B43A19"/>
    <w:rsid w:val="00B52C78"/>
    <w:rsid w:val="00B73D48"/>
    <w:rsid w:val="00B801EF"/>
    <w:rsid w:val="00B83310"/>
    <w:rsid w:val="00B97015"/>
    <w:rsid w:val="00BA3669"/>
    <w:rsid w:val="00BA5751"/>
    <w:rsid w:val="00BB110F"/>
    <w:rsid w:val="00BB4929"/>
    <w:rsid w:val="00BE1D8C"/>
    <w:rsid w:val="00BF4B71"/>
    <w:rsid w:val="00C0340E"/>
    <w:rsid w:val="00C173B4"/>
    <w:rsid w:val="00C47F8E"/>
    <w:rsid w:val="00C51ACD"/>
    <w:rsid w:val="00C60F75"/>
    <w:rsid w:val="00C77F8D"/>
    <w:rsid w:val="00C90148"/>
    <w:rsid w:val="00CE5820"/>
    <w:rsid w:val="00CF4981"/>
    <w:rsid w:val="00D052BD"/>
    <w:rsid w:val="00D16469"/>
    <w:rsid w:val="00D266DE"/>
    <w:rsid w:val="00D47C98"/>
    <w:rsid w:val="00D63E77"/>
    <w:rsid w:val="00D649CD"/>
    <w:rsid w:val="00D814FF"/>
    <w:rsid w:val="00D83A8E"/>
    <w:rsid w:val="00D907AF"/>
    <w:rsid w:val="00D97498"/>
    <w:rsid w:val="00DA33FF"/>
    <w:rsid w:val="00DC2063"/>
    <w:rsid w:val="00DC245F"/>
    <w:rsid w:val="00DD13FE"/>
    <w:rsid w:val="00E003A1"/>
    <w:rsid w:val="00E47CD4"/>
    <w:rsid w:val="00E50FE9"/>
    <w:rsid w:val="00E53AF8"/>
    <w:rsid w:val="00E550EE"/>
    <w:rsid w:val="00E56D79"/>
    <w:rsid w:val="00E835D7"/>
    <w:rsid w:val="00E9302E"/>
    <w:rsid w:val="00E97FB2"/>
    <w:rsid w:val="00EA5D11"/>
    <w:rsid w:val="00EA6E87"/>
    <w:rsid w:val="00EA725A"/>
    <w:rsid w:val="00EC50D3"/>
    <w:rsid w:val="00EE4D1C"/>
    <w:rsid w:val="00EF10FD"/>
    <w:rsid w:val="00F124AC"/>
    <w:rsid w:val="00F22EBD"/>
    <w:rsid w:val="00F31F12"/>
    <w:rsid w:val="00F359C9"/>
    <w:rsid w:val="00F7676B"/>
    <w:rsid w:val="00F97411"/>
    <w:rsid w:val="00FA3EC4"/>
    <w:rsid w:val="00FA53FD"/>
    <w:rsid w:val="00FB7CB7"/>
    <w:rsid w:val="00FD22F5"/>
    <w:rsid w:val="00FD47FF"/>
    <w:rsid w:val="00FD625E"/>
    <w:rsid w:val="00FE1364"/>
    <w:rsid w:val="00FE6992"/>
    <w:rsid w:val="00FE6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57BA57-D5B8-483B-A6F6-A1AA6D25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02A"/>
    <w:pPr>
      <w:jc w:val="both"/>
    </w:pPr>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59C9"/>
    <w:pPr>
      <w:tabs>
        <w:tab w:val="center" w:pos="4419"/>
        <w:tab w:val="right" w:pos="8838"/>
      </w:tabs>
    </w:pPr>
  </w:style>
  <w:style w:type="character" w:customStyle="1" w:styleId="EncabezadoCar">
    <w:name w:val="Encabezado Car"/>
    <w:basedOn w:val="Fuentedeprrafopredeter"/>
    <w:link w:val="Encabezado"/>
    <w:uiPriority w:val="99"/>
    <w:rsid w:val="00F359C9"/>
  </w:style>
  <w:style w:type="paragraph" w:styleId="Piedepgina">
    <w:name w:val="footer"/>
    <w:basedOn w:val="Normal"/>
    <w:link w:val="PiedepginaCar"/>
    <w:uiPriority w:val="99"/>
    <w:unhideWhenUsed/>
    <w:rsid w:val="00F359C9"/>
    <w:pPr>
      <w:tabs>
        <w:tab w:val="center" w:pos="4419"/>
        <w:tab w:val="right" w:pos="8838"/>
      </w:tabs>
    </w:pPr>
  </w:style>
  <w:style w:type="character" w:customStyle="1" w:styleId="PiedepginaCar">
    <w:name w:val="Pie de página Car"/>
    <w:basedOn w:val="Fuentedeprrafopredeter"/>
    <w:link w:val="Piedepgina"/>
    <w:uiPriority w:val="99"/>
    <w:rsid w:val="00F359C9"/>
  </w:style>
  <w:style w:type="paragraph" w:styleId="Textodeglobo">
    <w:name w:val="Balloon Text"/>
    <w:basedOn w:val="Normal"/>
    <w:link w:val="TextodegloboCar"/>
    <w:uiPriority w:val="99"/>
    <w:semiHidden/>
    <w:unhideWhenUsed/>
    <w:rsid w:val="00F359C9"/>
    <w:rPr>
      <w:rFonts w:ascii="Tahoma" w:hAnsi="Tahoma"/>
      <w:sz w:val="16"/>
      <w:szCs w:val="16"/>
    </w:rPr>
  </w:style>
  <w:style w:type="character" w:customStyle="1" w:styleId="TextodegloboCar">
    <w:name w:val="Texto de globo Car"/>
    <w:link w:val="Textodeglobo"/>
    <w:uiPriority w:val="99"/>
    <w:semiHidden/>
    <w:rsid w:val="00F359C9"/>
    <w:rPr>
      <w:rFonts w:ascii="Tahoma" w:hAnsi="Tahoma" w:cs="Tahoma"/>
      <w:sz w:val="16"/>
      <w:szCs w:val="16"/>
    </w:rPr>
  </w:style>
  <w:style w:type="character" w:styleId="Hipervnculo">
    <w:name w:val="Hyperlink"/>
    <w:unhideWhenUsed/>
    <w:rsid w:val="00F359C9"/>
    <w:rPr>
      <w:color w:val="0000FF"/>
      <w:u w:val="single"/>
    </w:rPr>
  </w:style>
  <w:style w:type="table" w:styleId="Tablaconcuadrcula">
    <w:name w:val="Table Grid"/>
    <w:basedOn w:val="Tablanormal"/>
    <w:uiPriority w:val="59"/>
    <w:rsid w:val="00261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6250"/>
    <w:pPr>
      <w:ind w:left="708"/>
    </w:pPr>
  </w:style>
  <w:style w:type="paragraph" w:customStyle="1" w:styleId="texto">
    <w:name w:val="texto"/>
    <w:basedOn w:val="Normal"/>
    <w:rsid w:val="003D2D2E"/>
    <w:pPr>
      <w:spacing w:after="101" w:line="216" w:lineRule="atLeast"/>
      <w:ind w:firstLine="288"/>
    </w:pPr>
    <w:rPr>
      <w:rFonts w:ascii="Helv" w:eastAsia="Times New Roman" w:hAnsi="Helv"/>
      <w:sz w:val="18"/>
      <w:szCs w:val="20"/>
      <w:lang w:val="es-ES_tradnl" w:eastAsia="es-ES"/>
    </w:rPr>
  </w:style>
  <w:style w:type="paragraph" w:customStyle="1" w:styleId="Texto0">
    <w:name w:val="Texto"/>
    <w:basedOn w:val="Normal"/>
    <w:link w:val="TextoCar"/>
    <w:rsid w:val="002147BA"/>
    <w:pPr>
      <w:spacing w:after="101" w:line="216" w:lineRule="exact"/>
      <w:ind w:firstLine="288"/>
    </w:pPr>
    <w:rPr>
      <w:rFonts w:ascii="Arial" w:eastAsia="Times New Roman" w:hAnsi="Arial"/>
      <w:sz w:val="18"/>
      <w:szCs w:val="20"/>
      <w:lang w:val="es-ES" w:eastAsia="es-ES"/>
    </w:rPr>
  </w:style>
  <w:style w:type="character" w:customStyle="1" w:styleId="TextoCar">
    <w:name w:val="Texto Car"/>
    <w:link w:val="Texto0"/>
    <w:locked/>
    <w:rsid w:val="002147BA"/>
    <w:rPr>
      <w:rFonts w:ascii="Arial" w:eastAsia="Times New Roman" w:hAnsi="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665557">
      <w:bodyDiv w:val="1"/>
      <w:marLeft w:val="0"/>
      <w:marRight w:val="0"/>
      <w:marTop w:val="0"/>
      <w:marBottom w:val="0"/>
      <w:divBdr>
        <w:top w:val="none" w:sz="0" w:space="0" w:color="auto"/>
        <w:left w:val="none" w:sz="0" w:space="0" w:color="auto"/>
        <w:bottom w:val="none" w:sz="0" w:space="0" w:color="auto"/>
        <w:right w:val="none" w:sz="0" w:space="0" w:color="auto"/>
      </w:divBdr>
    </w:div>
    <w:div w:id="206841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5A5D3-0F91-4348-AFFC-6505E368E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1909</Words>
  <Characters>10500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MCONTRERAS</dc:creator>
  <cp:lastModifiedBy>Arcelid Herrera García</cp:lastModifiedBy>
  <cp:revision>2</cp:revision>
  <cp:lastPrinted>2014-02-05T18:39:00Z</cp:lastPrinted>
  <dcterms:created xsi:type="dcterms:W3CDTF">2018-01-10T21:05:00Z</dcterms:created>
  <dcterms:modified xsi:type="dcterms:W3CDTF">2018-01-10T21:05:00Z</dcterms:modified>
</cp:coreProperties>
</file>